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1A425" w14:textId="77777777" w:rsidR="00D84031" w:rsidRDefault="00D84031">
      <w:pPr>
        <w:pStyle w:val="CoverWP"/>
      </w:pPr>
    </w:p>
    <w:p w14:paraId="2E52FE3A" w14:textId="77777777" w:rsidR="00D84031" w:rsidRDefault="007965BB">
      <w:pPr>
        <w:pStyle w:val="CoverWP"/>
      </w:pPr>
      <w:r>
        <w:t>EN</w:t>
      </w:r>
    </w:p>
    <w:p w14:paraId="40EFC84B" w14:textId="77777777" w:rsidR="00D84031" w:rsidRDefault="007965BB">
      <w:pPr>
        <w:pStyle w:val="CoverWP"/>
      </w:pPr>
      <w:r>
        <w:t>Annex V</w:t>
      </w:r>
    </w:p>
    <w:p w14:paraId="49E3BB30" w14:textId="77777777" w:rsidR="00D84031" w:rsidRDefault="007965BB">
      <w:pPr>
        <w:pStyle w:val="CoverWP"/>
      </w:pPr>
      <w:r>
        <w:t>Horizon Europe</w:t>
      </w:r>
    </w:p>
    <w:p w14:paraId="40910764" w14:textId="77777777" w:rsidR="00D84031" w:rsidRDefault="007965BB">
      <w:pPr>
        <w:pStyle w:val="CoverWP"/>
      </w:pPr>
      <w:r>
        <w:t>Work Programme 2026-2027</w:t>
      </w:r>
    </w:p>
    <w:p w14:paraId="16D550D6" w14:textId="77777777" w:rsidR="00D84031" w:rsidRDefault="007965BB">
      <w:pPr>
        <w:pStyle w:val="CoverTitle"/>
      </w:pPr>
      <w:r>
        <w:t>5. Culture, Creativity and Inclusive Society</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8500"/>
      </w:tblGrid>
      <w:tr w:rsidR="00D84031" w14:paraId="47B66D3D" w14:textId="77777777">
        <w:tc>
          <w:tcPr>
            <w:tcW w:w="8500" w:type="dxa"/>
          </w:tcPr>
          <w:p w14:paraId="108ADC7D" w14:textId="77777777" w:rsidR="00D84031" w:rsidRDefault="007965BB">
            <w:pPr>
              <w:pStyle w:val="NoticeTitle"/>
            </w:pPr>
            <w:r>
              <w:rPr>
                <w:b w:val="0"/>
                <w:color w:val="000000"/>
              </w:rPr>
              <w:t>DISCLAIMER</w:t>
            </w:r>
          </w:p>
          <w:p w14:paraId="3A396A79" w14:textId="77777777" w:rsidR="00D84031" w:rsidRDefault="007965BB">
            <w:pPr>
              <w:pStyle w:val="Notice"/>
            </w:pPr>
            <w:r>
              <w:rPr>
                <w:b w:val="0"/>
                <w:color w:val="000000"/>
              </w:rPr>
              <w:t xml:space="preserve">This draft has not been adopted or endorsed by the European Commission. Any views expressed are the preliminary views of the </w:t>
            </w:r>
            <w:r>
              <w:rPr>
                <w:b w:val="0"/>
                <w:color w:val="000000"/>
              </w:rPr>
              <w:t>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p>
        </w:tc>
      </w:tr>
    </w:tbl>
    <w:p w14:paraId="3C89895D" w14:textId="77777777" w:rsidR="00D84031" w:rsidRDefault="00D84031">
      <w:pPr>
        <w:pStyle w:val="CoverDecision"/>
      </w:pPr>
    </w:p>
    <w:p w14:paraId="03678437" w14:textId="77777777" w:rsidR="007D25FE" w:rsidRDefault="007D25FE" w:rsidP="004E0E4B">
      <w:pPr>
        <w:pStyle w:val="footnote2"/>
      </w:pPr>
    </w:p>
    <w:sdt>
      <w:sdtPr>
        <w:rPr>
          <w:rFonts w:eastAsiaTheme="minorEastAsia" w:cstheme="minorBidi"/>
          <w:b w:val="0"/>
          <w:bCs w:val="0"/>
          <w:sz w:val="24"/>
          <w:szCs w:val="22"/>
          <w:lang w:val="en-GB" w:eastAsia="en-GB"/>
        </w:rPr>
        <w:id w:val="-1422096267"/>
        <w:docPartObj>
          <w:docPartGallery w:val="Table of Contents"/>
          <w:docPartUnique/>
        </w:docPartObj>
      </w:sdtPr>
      <w:sdtEndPr>
        <w:rPr>
          <w:noProof/>
        </w:rPr>
      </w:sdtEndPr>
      <w:sdtContent>
        <w:p w14:paraId="3547D3C6" w14:textId="77777777" w:rsidR="0075539F" w:rsidRDefault="0075539F">
          <w:pPr>
            <w:pStyle w:val="TOCHeading"/>
            <w:rPr>
              <w:rFonts w:eastAsiaTheme="minorEastAsia" w:cstheme="minorBidi"/>
              <w:b w:val="0"/>
              <w:bCs w:val="0"/>
              <w:sz w:val="24"/>
              <w:szCs w:val="22"/>
              <w:lang w:val="en-GB" w:eastAsia="en-GB"/>
            </w:rPr>
          </w:pPr>
          <w:r>
            <w:rPr>
              <w:rFonts w:eastAsiaTheme="minorEastAsia" w:cstheme="minorBidi"/>
              <w:b w:val="0"/>
              <w:bCs w:val="0"/>
              <w:sz w:val="24"/>
              <w:szCs w:val="22"/>
              <w:lang w:val="en-GB" w:eastAsia="en-GB"/>
            </w:rPr>
            <w:br w:type="page"/>
          </w:r>
        </w:p>
        <w:p w14:paraId="1F9429B3" w14:textId="77777777" w:rsidR="00112F79" w:rsidRDefault="00112F79">
          <w:pPr>
            <w:pStyle w:val="TOCHeading"/>
          </w:pPr>
          <w:r>
            <w:lastRenderedPageBreak/>
            <w:t xml:space="preserve">Table of </w:t>
          </w:r>
          <w:r w:rsidR="0027193B">
            <w:t>c</w:t>
          </w:r>
          <w:r>
            <w:t>ontents</w:t>
          </w:r>
        </w:p>
        <w:p w14:paraId="1210788B" w14:textId="77777777" w:rsidR="00112F79" w:rsidRDefault="007965BB">
          <w:r>
            <w:fldChar w:fldCharType="begin"/>
          </w:r>
          <w:r>
            <w:instrText xml:space="preserve"> TOC \o "1-3" \h \z \u </w:instrText>
          </w:r>
          <w:r>
            <w:fldChar w:fldCharType="separate"/>
          </w:r>
          <w:r w:rsidR="00112F79">
            <w:rPr>
              <w:b/>
              <w:bCs/>
              <w:noProof/>
              <w:lang w:val="en-US"/>
            </w:rPr>
            <w:t>No table of contents entries found.</w:t>
          </w:r>
          <w:r>
            <w:rPr>
              <w:b/>
              <w:bCs/>
              <w:noProof/>
              <w:lang w:val="en-US"/>
            </w:rPr>
            <w:fldChar w:fldCharType="end"/>
          </w:r>
        </w:p>
      </w:sdtContent>
    </w:sdt>
    <w:p w14:paraId="1CED2F09" w14:textId="77777777" w:rsidR="00D84031" w:rsidRDefault="00D84031"/>
    <w:p w14:paraId="52322B22" w14:textId="77777777" w:rsidR="00D84031" w:rsidRDefault="007965BB">
      <w:pPr>
        <w:pStyle w:val="HeadingOne"/>
        <w:pageBreakBefore/>
      </w:pPr>
      <w:r>
        <w:lastRenderedPageBreak/>
        <w:t>Introduction</w:t>
      </w:r>
    </w:p>
    <w:p w14:paraId="69ADA066" w14:textId="77777777" w:rsidR="00D84031" w:rsidRDefault="007965BB">
      <w:r>
        <w:rPr>
          <w:color w:val="000000"/>
        </w:rPr>
        <w:t xml:space="preserve">Cluster 2, ‘Culture, Creativity and Inclusive Society’ aims to meet EU goals and priorities on enhancing </w:t>
      </w:r>
      <w:r>
        <w:rPr>
          <w:color w:val="000000"/>
        </w:rPr>
        <w:t>democratic governance and citizens participation, on the safeguarding and promotion of cultural heritage, and to respond to and shape multifaceted social, economic, technological and cultural transformations. Cluster 2 mobilises multidisciplinary expertise of European social sciences and humanities (SSH) for understanding fundamental contemporary transformations of society, economy, politics and culture. It aims to provide evidence-based policy options for a socially just and inclusive European green and di</w:t>
      </w:r>
      <w:r>
        <w:rPr>
          <w:color w:val="000000"/>
        </w:rPr>
        <w:t>gital transition and recovery.</w:t>
      </w:r>
    </w:p>
    <w:p w14:paraId="44EF5C38" w14:textId="77777777" w:rsidR="00D84031" w:rsidRDefault="007965BB">
      <w:r>
        <w:rPr>
          <w:color w:val="000000"/>
        </w:rPr>
        <w:t>The EU is strongly committed to the UN Sustainable Development Goals (SDGs), many of which have an important impact on culture, creativity, and inclusive society, notably: SDG 1 (No poverty), SDG 3 (Good Health and Well-being), SDG 4 (Quality Education), SDG 5 (Gender Equality), SDG 8 (Decent Work and Economic Growth), SDG 10 (Reduced Inequalities), SDG 11 (Sustainable Cities and Communities), SDG 12 (Responsible Consumption and Production), and SDG 16 (Peace, Justice, and Strong Institutions), with their s</w:t>
      </w:r>
      <w:r>
        <w:rPr>
          <w:color w:val="000000"/>
        </w:rPr>
        <w:t>pecific targets to achieve a better and more sustainable future for all.</w:t>
      </w:r>
    </w:p>
    <w:p w14:paraId="2DB1B127" w14:textId="77777777" w:rsidR="00D84031" w:rsidRDefault="007965BB">
      <w:r>
        <w:rPr>
          <w:color w:val="000000"/>
        </w:rPr>
        <w:t>Proposals are invited against the following three (3) destinations:</w:t>
      </w:r>
    </w:p>
    <w:p w14:paraId="14E5F2B9" w14:textId="77777777" w:rsidR="00D84031" w:rsidRDefault="007965BB">
      <w:r>
        <w:rPr>
          <w:color w:val="000000"/>
        </w:rPr>
        <w:t xml:space="preserve">Activities contributing to the </w:t>
      </w:r>
      <w:r>
        <w:rPr>
          <w:b/>
          <w:color w:val="000000"/>
        </w:rPr>
        <w:t>destination "Innovative Research on Democracy and Governance"</w:t>
      </w:r>
      <w:r>
        <w:rPr>
          <w:color w:val="000000"/>
        </w:rPr>
        <w:t xml:space="preserve">, will provide knowledge, data and scientifically robust recommendations to reinvigorate and defend democratic governance and improve trust in democratic institutions. In the long-term, this will contribute to help safeguard fundamental </w:t>
      </w:r>
      <w:r>
        <w:rPr>
          <w:color w:val="000000"/>
        </w:rPr>
        <w:t xml:space="preserve">rights to empower active and inclusive citizenship. Research will contribute to understanding current challenges and threats and mapping future pathways for innovative solutions to challenges such as addressing the impact of AI and the digital transformation of democracy, reinforcing democratic resilience and civic preparedness and preserving the role of free and plural media as key tenets of democracy. Projects will develop a robust evidence base on which to build effective, relevant and sensible policies </w:t>
      </w:r>
      <w:r>
        <w:rPr>
          <w:color w:val="000000"/>
        </w:rPr>
        <w:t>that bolster the resilience of democratic systems and protect them from threats, while contributing at the same time to rebuilding citizens’ trust in democracy, its institutions, and the sense of political participation in its widest possible sense.</w:t>
      </w:r>
    </w:p>
    <w:p w14:paraId="549D569B" w14:textId="77777777" w:rsidR="00D84031" w:rsidRDefault="007965BB">
      <w:r>
        <w:rPr>
          <w:color w:val="000000"/>
        </w:rPr>
        <w:t xml:space="preserve">Activities contributing to the </w:t>
      </w:r>
      <w:r>
        <w:rPr>
          <w:b/>
          <w:color w:val="000000"/>
        </w:rPr>
        <w:t>destination "Innovative Research on the European Cultural Heritage and the Cultural and Creative Industries"</w:t>
      </w:r>
      <w:r>
        <w:rPr>
          <w:color w:val="000000"/>
        </w:rPr>
        <w:t>, will support research and innovation to boost sustainable growth and job creation through the cultural and creative industries. They will contribute to Europe’s sustainable prosperity and competitiveness by boosting the innovation-driving role of the Cultural and Creative Industries (CCIs), and by focusing in areas such as creative startups, the impact of artificial intelligence technologies on crea</w:t>
      </w:r>
      <w:r>
        <w:rPr>
          <w:color w:val="000000"/>
        </w:rPr>
        <w:t xml:space="preserve">tivity and CCIs and promoting a circular economy and global partnerships in cultural policies and CCIs. They will help supporting people and strengthen our societies and our social model by boosting the role of culture, the arts and creative industries for well-being, the social economy and society. R&amp;I actions will explore and strengthen the role of culture, heritage and CCIs in shaping the technologies of the future and focus on safeguarding intangible heritage and </w:t>
      </w:r>
      <w:r>
        <w:rPr>
          <w:color w:val="000000"/>
        </w:rPr>
        <w:lastRenderedPageBreak/>
        <w:t>linguistic diversity, on sustainable cul</w:t>
      </w:r>
      <w:r>
        <w:rPr>
          <w:color w:val="000000"/>
        </w:rPr>
        <w:t>tural tourism and on countering illicit trafficking of cultural goods, among others.</w:t>
      </w:r>
    </w:p>
    <w:p w14:paraId="33106960" w14:textId="77777777" w:rsidR="00D84031" w:rsidRDefault="007965BB">
      <w:r>
        <w:rPr>
          <w:color w:val="000000"/>
        </w:rPr>
        <w:t>At the same time, through the</w:t>
      </w:r>
      <w:r>
        <w:rPr>
          <w:b/>
          <w:color w:val="000000"/>
        </w:rPr>
        <w:t xml:space="preserve"> destination "Innovative Research on Social and Economic Transformations</w:t>
      </w:r>
      <w:r>
        <w:rPr>
          <w:color w:val="000000"/>
        </w:rPr>
        <w:t>", actions will help tackle social, economic and political inequalities, support human capital development and contribute to a comprehensive European strategy for inclusive growth. Activities will improve the understanding of how technological, climate, economic and demographic changes impact society. They will inform the design of policies addressing existing and emerging challenges, harnessing new opportunities (particularly in the ar</w:t>
      </w:r>
      <w:r>
        <w:rPr>
          <w:color w:val="000000"/>
        </w:rPr>
        <w:t>eas of employment, education, mental health and well-being) and contributing to reaching the objectives set out by the Action Plan of the European Pillar of Social Rights. A key focus of the activities will be to boost sustainability and inclusion, by supporting vulnerable groups and protecting individuals from discrimination (based on sex, gender, racial or ethnic origin, religion or belief, disability, age or sexual orientation).</w:t>
      </w:r>
    </w:p>
    <w:p w14:paraId="17A76563" w14:textId="77777777" w:rsidR="00D84031" w:rsidRDefault="007965BB">
      <w:r>
        <w:rPr>
          <w:color w:val="000000"/>
        </w:rPr>
        <w:t xml:space="preserve">A new </w:t>
      </w:r>
      <w:r>
        <w:rPr>
          <w:b/>
          <w:color w:val="000000"/>
        </w:rPr>
        <w:t>European Partnership on Social Transformations and Resilience</w:t>
      </w:r>
      <w:r>
        <w:rPr>
          <w:color w:val="000000"/>
        </w:rPr>
        <w:t>, focused on the Social Sciences and Humanities (SSH), will be launched under Cluster 2 work programme part. The partnership will fund research and innovation activities in the areas of the future of work, modernisation of social protection and essential services, education and skills development and a fair transition towards climate neutrality.</w:t>
      </w:r>
    </w:p>
    <w:p w14:paraId="0BE954D2" w14:textId="77777777" w:rsidR="00D84031" w:rsidRDefault="007965BB">
      <w:r>
        <w:rPr>
          <w:color w:val="000000"/>
        </w:rPr>
        <w:t xml:space="preserve">Horizon Europe is the research and innovation programme in a system of European and national funding programmes which share policy objectives. Through the programme, special attention will be given to ensuring cooperation between universities, scientific communities and industry, including small and medium enterprises, and citizens and their representatives, to bridge gaps between territories, generations and regional cultures, especially caring for the needs of the young in shaping Europe’s future. Funded </w:t>
      </w:r>
      <w:r>
        <w:rPr>
          <w:color w:val="000000"/>
        </w:rPr>
        <w:t>projects could be EU Synergies grants, meaning that as such, they have the possibility to also receive funding under other EU programmes. To enable synergies by design in this context, project proposers should consider and actively seek strategic combinations with, and where appropriate possibilities for further funding from, other R&amp;I-relevant EU, national or regional and cross-border programmes (such as ERDF including Interreg, ESF+, JTF, EMFF, EAFRD and InvestEU), as well as private funds or financial in</w:t>
      </w:r>
      <w:r>
        <w:rPr>
          <w:color w:val="000000"/>
        </w:rPr>
        <w:t>struments.</w:t>
      </w:r>
    </w:p>
    <w:p w14:paraId="1167A534" w14:textId="77777777" w:rsidR="00D84031" w:rsidRDefault="007965BB">
      <w:r>
        <w:rPr>
          <w:color w:val="000000"/>
        </w:rPr>
        <w:t>The EU’s Recovery and Resilience Facility (RRF) aims at financing projects that directly tackle the economic and social impacts from the Coronavirus crisis and support the green and digital transition. For project ideas that directly contribute to these objectives and that have a strong focus in one Member State it is advisable to check access to the RRF for a fast and targeted support.</w:t>
      </w:r>
    </w:p>
    <w:p w14:paraId="5039761C" w14:textId="77777777" w:rsidR="00D84031" w:rsidRDefault="007965BB">
      <w:r>
        <w:rPr>
          <w:color w:val="000000"/>
        </w:rPr>
        <w:t>Synergies with relevant Union programmes will be sought, regarding the take-up of research results and innovative solutions developed under Horizon Europe, for example via the following programmes:</w:t>
      </w:r>
    </w:p>
    <w:p w14:paraId="4774EF2E" w14:textId="77777777" w:rsidR="00D84031" w:rsidRDefault="007965BB" w:rsidP="00C62CF4">
      <w:pPr>
        <w:pStyle w:val="ListParagraph"/>
        <w:numPr>
          <w:ilvl w:val="0"/>
          <w:numId w:val="6"/>
        </w:numPr>
      </w:pPr>
      <w:r>
        <w:rPr>
          <w:color w:val="000000"/>
        </w:rPr>
        <w:t xml:space="preserve">Creative Europe: it improves the safeguarding and valorisation of cultural heritage and further supports the cultural and creative sector. Creative Europe can improve sectorial </w:t>
      </w:r>
      <w:r>
        <w:rPr>
          <w:color w:val="000000"/>
        </w:rPr>
        <w:lastRenderedPageBreak/>
        <w:t>networking and cooperation of Member States and non-EU Participating Countries in the Creative Europe Programme</w:t>
      </w:r>
      <w:r>
        <w:rPr>
          <w:vertAlign w:val="superscript"/>
        </w:rPr>
        <w:footnoteReference w:id="1"/>
      </w:r>
      <w:r>
        <w:rPr>
          <w:color w:val="000000"/>
        </w:rPr>
        <w:t xml:space="preserve"> to apply the latest technologies, stimulate new scientific approaches and boost innovation potential stemming from Horizon Europe.</w:t>
      </w:r>
    </w:p>
    <w:p w14:paraId="6C089DD6" w14:textId="77777777" w:rsidR="00D84031" w:rsidRDefault="007965BB" w:rsidP="00C62CF4">
      <w:pPr>
        <w:pStyle w:val="ListParagraph"/>
        <w:numPr>
          <w:ilvl w:val="0"/>
          <w:numId w:val="6"/>
        </w:numPr>
      </w:pPr>
      <w:r>
        <w:rPr>
          <w:color w:val="000000"/>
        </w:rPr>
        <w:t xml:space="preserve">Erasmus+: it supports efforts to </w:t>
      </w:r>
      <w:r>
        <w:rPr>
          <w:color w:val="000000"/>
        </w:rPr>
        <w:t>efficiently use the potential of Europe’s talent and social assets in a lifelong learning perspective throughout the education, training and youth fields. It promotes measures for the inclusion of people with fewer opportunities, including newly arrived migrants, and supports skills development and citizens’ participation and engagement, encouraging young people to engage and learn to participate in civic society and democratic life, raising awareness about EU values, including via online platforms and tool</w:t>
      </w:r>
      <w:r>
        <w:rPr>
          <w:color w:val="000000"/>
        </w:rPr>
        <w:t>s for virtual cooperation. As regards Cluster 2, Erasmus+ projects could benefit for instance from the use of innovative practices for migrant integration in education, up-take of innovative methods for citizen engagement and education for fostering EU values and democracy stemming from Horizon Europe.</w:t>
      </w:r>
    </w:p>
    <w:p w14:paraId="219C0AB0" w14:textId="77777777" w:rsidR="00D84031" w:rsidRDefault="007965BB" w:rsidP="00C62CF4">
      <w:pPr>
        <w:pStyle w:val="ListParagraph"/>
        <w:numPr>
          <w:ilvl w:val="0"/>
          <w:numId w:val="6"/>
        </w:numPr>
      </w:pPr>
      <w:r>
        <w:rPr>
          <w:color w:val="000000"/>
        </w:rPr>
        <w:t>Global Europe, the EU’s Neighbourhood, Development and International Cooperation Instrument: it supports and consolidates democracy, rule of law and human rights, supports civil society organisations outside the EU, furthers stability and peace and addresses other global challenges including migration and mobility. The actions can benefit from drawing on the findings of H2020 and Horizon Europe projects regarding trust in governance, tackling disinformation and citizens’ participation and engagement.</w:t>
      </w:r>
    </w:p>
    <w:p w14:paraId="7A52C3CC" w14:textId="77777777" w:rsidR="00D84031" w:rsidRDefault="007965BB" w:rsidP="00C62CF4">
      <w:pPr>
        <w:pStyle w:val="ListParagraph"/>
        <w:numPr>
          <w:ilvl w:val="0"/>
          <w:numId w:val="6"/>
        </w:numPr>
      </w:pPr>
      <w:r>
        <w:rPr>
          <w:color w:val="000000"/>
        </w:rPr>
        <w:t>Digital Europe Programme (DIGITAL): while Horizon Europe supports research and development of digital technologies, DIGITAL supports the wide uptake and deployment of innovative digital solutions in areas of public interest (including public administration, justice and education), by setting up and making accessible Europe-wide data spaces and platforms and providing SMEs and public administrations access to the latest digital technologies, for example via Digital Innovation Hubs. Priority actions for the f</w:t>
      </w:r>
      <w:r>
        <w:rPr>
          <w:color w:val="000000"/>
        </w:rPr>
        <w:t>irst four years of DIGITAL include “Safer internet for kids”, a “Platform for combating disinformation”, supporting the EU language technology industry in developing and deploying latest AI-based technologies in all EU languages, contributing to the skills and employment of ICT professionals (including women and girls) and the EU digital platform for cultural heritage, Europeana, which supports the digital transformation of cultural heritage institutions.</w:t>
      </w:r>
    </w:p>
    <w:p w14:paraId="542E5C59" w14:textId="77777777" w:rsidR="00D84031" w:rsidRDefault="007965BB" w:rsidP="00C62CF4">
      <w:pPr>
        <w:pStyle w:val="ListParagraph"/>
        <w:numPr>
          <w:ilvl w:val="0"/>
          <w:numId w:val="6"/>
        </w:numPr>
      </w:pPr>
      <w:r>
        <w:rPr>
          <w:color w:val="000000"/>
        </w:rPr>
        <w:t>Technical Support Instrument (TSI): by supporting the efforts of the national authorities in improving their administrative capacity to design, develop and implement reforms, the TSI can benefit from the good practices, innovative processes and methodologies identified or developed in H2020 and Horizon Europe projects, and get access to the expertise in research bodies participating to such projects.</w:t>
      </w:r>
    </w:p>
    <w:p w14:paraId="1199AA43" w14:textId="77777777" w:rsidR="00D84031" w:rsidRDefault="007965BB" w:rsidP="00C62CF4">
      <w:pPr>
        <w:pStyle w:val="ListParagraph"/>
        <w:numPr>
          <w:ilvl w:val="0"/>
          <w:numId w:val="6"/>
        </w:numPr>
      </w:pPr>
      <w:r>
        <w:rPr>
          <w:color w:val="000000"/>
        </w:rPr>
        <w:t xml:space="preserve">Citizens, Equality, Rights and Values programme: the programme can draw on the results of H2020 and Horizon Europe projects in the field of citizens’ engagement, to support civil society organisations in encouraging and facilitating active participation in </w:t>
      </w:r>
      <w:r>
        <w:rPr>
          <w:color w:val="000000"/>
        </w:rPr>
        <w:lastRenderedPageBreak/>
        <w:t>the construction of a more democratic Union and awareness raising of EU rights and values.</w:t>
      </w:r>
    </w:p>
    <w:p w14:paraId="4F257D58" w14:textId="77777777" w:rsidR="00D84031" w:rsidRDefault="007965BB" w:rsidP="00C62CF4">
      <w:pPr>
        <w:pStyle w:val="ListParagraph"/>
        <w:numPr>
          <w:ilvl w:val="0"/>
          <w:numId w:val="6"/>
        </w:numPr>
      </w:pPr>
      <w:r>
        <w:rPr>
          <w:color w:val="000000"/>
        </w:rPr>
        <w:t>European Social Fund Plus (ESF+): The programme aims to promote social cohesion and equip people with the skills needed for the evolving demands of the labour market. Member States and regions can use the ESF+ to mainstream and upscale innovative technologies and solutions in the areas of employment, social inclusion, education and training, including successful models and practices developed under Horizon 2020 and Horizon Europe. In addition, the ESF+ can support operations and researchers granted a Seal o</w:t>
      </w:r>
      <w:r>
        <w:rPr>
          <w:color w:val="000000"/>
        </w:rPr>
        <w:t>f Excellence under Horizon Europe.</w:t>
      </w:r>
    </w:p>
    <w:p w14:paraId="6C466ADD" w14:textId="77777777" w:rsidR="00D84031" w:rsidRDefault="007965BB" w:rsidP="00C62CF4">
      <w:pPr>
        <w:pStyle w:val="ListParagraph"/>
        <w:numPr>
          <w:ilvl w:val="0"/>
          <w:numId w:val="6"/>
        </w:numPr>
      </w:pPr>
      <w:r>
        <w:rPr>
          <w:color w:val="000000"/>
        </w:rPr>
        <w:t>European Regional Development Fund: ERDF focuses, among others, on the development and strengthening of regional and local research and innovation ecosystems and smart economic transformation, in line with regional/national smart specialisation strategies. It can support investment in research infrastructures, activities for applied research and innovation (including industrial research), experimental development and feasibility studies, building research and innovation capacities and the uptake of advanced</w:t>
      </w:r>
      <w:r>
        <w:rPr>
          <w:color w:val="000000"/>
        </w:rPr>
        <w:t xml:space="preserve"> technologies and roll-out of innovative solutions from the Framework Programmes for research and innovation through the ERDF. It helps governments reap the benefits of digitisation and encourages investments in social and cultural infrastructure, the development of cultural services and the conservation of cultural heritage. Interreg is a main instrument of ERDF to support cooperation across regions and countries. Support to the protection and development of cultural heritage, to SMEs, to social innovation</w:t>
      </w:r>
      <w:r>
        <w:rPr>
          <w:color w:val="000000"/>
        </w:rPr>
        <w:t xml:space="preserve"> in culture and creative industries is central to Interreg. Interreg can also complement Horizon Europe’s initiatives by supporting policy learning and regional cooperation.</w:t>
      </w:r>
    </w:p>
    <w:p w14:paraId="647E8E94" w14:textId="77777777" w:rsidR="00D84031" w:rsidRDefault="007965BB" w:rsidP="00C62CF4">
      <w:pPr>
        <w:pStyle w:val="ListParagraph"/>
        <w:numPr>
          <w:ilvl w:val="0"/>
          <w:numId w:val="6"/>
        </w:numPr>
      </w:pPr>
      <w:r>
        <w:rPr>
          <w:color w:val="000000"/>
        </w:rPr>
        <w:t>European Agricultural Fund for Rural Development (EAFRD): relevant stakeholders can benefit from the dissemination and take-up of R&amp;I results in the field of cultural heritage, in particular in rural and remote areas.</w:t>
      </w:r>
    </w:p>
    <w:p w14:paraId="6630ABFD" w14:textId="77777777" w:rsidR="00D84031" w:rsidRDefault="007965BB" w:rsidP="00C62CF4">
      <w:pPr>
        <w:pStyle w:val="ListParagraph"/>
        <w:numPr>
          <w:ilvl w:val="0"/>
          <w:numId w:val="6"/>
        </w:numPr>
      </w:pPr>
      <w:r>
        <w:rPr>
          <w:color w:val="000000"/>
        </w:rPr>
        <w:t>The InvestEU Programme can fund the uptake of R&amp;I results related to Cultural and Creative Industries (CCI) and cultural heritage.</w:t>
      </w:r>
    </w:p>
    <w:p w14:paraId="7442FC26" w14:textId="77777777" w:rsidR="00D84031" w:rsidRDefault="007965BB" w:rsidP="00C62CF4">
      <w:pPr>
        <w:pStyle w:val="ListParagraph"/>
        <w:numPr>
          <w:ilvl w:val="0"/>
          <w:numId w:val="6"/>
        </w:numPr>
      </w:pPr>
      <w:r>
        <w:rPr>
          <w:color w:val="000000"/>
        </w:rPr>
        <w:t xml:space="preserve">The Asylum, Migration and Integration Fund (AMIF) supports the EU migration policy to strengthen and develop all aspects of the common European asylum system, support legal migration to the Member States and effective integration policies. It contributes to countering irregular migration. Horizon Europe contributes to the implementation of the AMIF providing an evidence base for policies and projects, as regards asylum protection, legal and irregular migration management and migrant integration. </w:t>
      </w:r>
    </w:p>
    <w:p w14:paraId="48D02595" w14:textId="77777777" w:rsidR="00D84031" w:rsidRDefault="007965BB">
      <w:r>
        <w:rPr>
          <w:color w:val="000000"/>
        </w:rPr>
        <w:t xml:space="preserve">To increase the impact of EU investments under Horizon Europe, the European Commission encourages collaboration between EU-funded projects to build on complementarities through networking, joint workshops, knowledge exchange, best practices, and joint communication activities. Complementarities can be explored between projects funded under the same or different topics, Clusters or pillars of Horizon Europe. This includes collaborations between </w:t>
      </w:r>
      <w:r>
        <w:rPr>
          <w:color w:val="000000"/>
        </w:rPr>
        <w:lastRenderedPageBreak/>
        <w:t>projects funded under Cluster 1 and Cluster 2 for complementary actions, such as promoting social inclusion, health equity (including gender equality and support for marginalised groups), and mental health initiatives in education, work, and daily life (including through culture and the arts). The cross-cluster complementarities are set out in detail in the Strategic Plan of Horizon Europe for 2025-2027.</w:t>
      </w:r>
    </w:p>
    <w:p w14:paraId="743E8EA1" w14:textId="77777777" w:rsidR="00D84031" w:rsidRDefault="007965BB">
      <w:r>
        <w:rPr>
          <w:color w:val="000000"/>
        </w:rPr>
        <w:t>In line with the EU’s Global Approach to Research and Innovation, and similarly to the previous Work Programmes, the Work Programme 2026-27 will remain almost completely open to the participation of non-associated third countries to all Research and Innovation Action (RIA) and Innovation Action (IA) topics. In support of the Global Gateway Strategy</w:t>
      </w:r>
      <w:r>
        <w:rPr>
          <w:vertAlign w:val="superscript"/>
        </w:rPr>
        <w:footnoteReference w:id="2"/>
      </w:r>
      <w:r>
        <w:rPr>
          <w:color w:val="000000"/>
        </w:rPr>
        <w:t>, projects involving international partners should lead to increased scientific knowledge and transfer of technology among partner countries allowing to address global challenges across the world and create sustainable growth and jobs. Cooperation should take place in a value-based way, creating linkages, not dependencies</w:t>
      </w:r>
    </w:p>
    <w:p w14:paraId="1EF2BDF6" w14:textId="77777777" w:rsidR="00D84031" w:rsidRDefault="007965BB">
      <w:r>
        <w:rPr>
          <w:color w:val="000000"/>
        </w:rPr>
        <w:t>Applicants are encouraged to consider, where appropriate, interweaving in the methodology of their proposals open science practices beyond the mandatory requirements of Horizon Europe, such as early and open sharing of research (e.g. through preprints), measures to ensure reproducibility of research outputs, open access to research outputs other than publications or data, participation in open peer-review.</w:t>
      </w:r>
    </w:p>
    <w:p w14:paraId="616E496D" w14:textId="77777777" w:rsidR="00D84031" w:rsidRDefault="007965BB">
      <w:r>
        <w:rPr>
          <w:color w:val="000000"/>
        </w:rPr>
        <w:t>Applicants are encouraged to consider, where relevant, the services offered by the current and future EU-funded European Research Infrastructures, particularly those in the social sciences and humanities domain</w:t>
      </w:r>
      <w:r>
        <w:rPr>
          <w:vertAlign w:val="superscript"/>
        </w:rPr>
        <w:footnoteReference w:id="3"/>
      </w:r>
      <w:r>
        <w:rPr>
          <w:color w:val="000000"/>
        </w:rPr>
        <w:t>.</w:t>
      </w:r>
    </w:p>
    <w:p w14:paraId="5F03CA3D" w14:textId="77777777" w:rsidR="00D84031" w:rsidRDefault="007965BB">
      <w:r>
        <w:rPr>
          <w:color w:val="000000"/>
        </w:rPr>
        <w:t>The topics in this cluster require the effective and extensive contribution of SSH disciplines and the involvement of SSH experts, institutions as well as the inclusion of relevant SSH expertise, to produce meaningful and significant effects enhancing the societal impact of the related research activities.</w:t>
      </w:r>
    </w:p>
    <w:p w14:paraId="2F7278BA" w14:textId="77777777" w:rsidR="00D84031" w:rsidRDefault="007965BB">
      <w:pPr>
        <w:pStyle w:val="HeadingOne"/>
        <w:pageBreakBefore/>
      </w:pPr>
      <w:r>
        <w:lastRenderedPageBreak/>
        <w:t>CALLS 2026</w:t>
      </w:r>
    </w:p>
    <w:p w14:paraId="558E46FE" w14:textId="77777777" w:rsidR="00D84031" w:rsidRPr="00C62CF4" w:rsidRDefault="007965BB">
      <w:pPr>
        <w:pStyle w:val="HeadingTwo"/>
        <w:rPr>
          <w:lang w:val="en-IE"/>
        </w:rPr>
      </w:pPr>
      <w:r w:rsidRPr="00C62CF4">
        <w:rPr>
          <w:lang w:val="en-IE"/>
        </w:rPr>
        <w:t>Call - Culture, Creativity and Inclusive Society 2026</w:t>
      </w:r>
    </w:p>
    <w:p w14:paraId="4E466CCB" w14:textId="77777777" w:rsidR="00D84031" w:rsidRDefault="007965BB">
      <w:pPr>
        <w:pStyle w:val="CallIdentifier"/>
      </w:pPr>
      <w:r>
        <w:t>HORIZON-CL2-2026-01</w:t>
      </w:r>
    </w:p>
    <w:p w14:paraId="7EC87E82" w14:textId="77777777" w:rsidR="00D84031" w:rsidRDefault="007965BB">
      <w:pPr>
        <w:pStyle w:val="HeadingThree"/>
      </w:pPr>
      <w:r>
        <w:t>Overview of this call</w:t>
      </w:r>
      <w:r>
        <w:rPr>
          <w:vertAlign w:val="superscript"/>
        </w:rPr>
        <w:footnoteReference w:id="4"/>
      </w:r>
    </w:p>
    <w:p w14:paraId="6CAA4E77" w14:textId="77777777" w:rsidR="00D84031" w:rsidRDefault="007965BB">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D84031" w14:paraId="3AE4814A" w14:textId="77777777">
        <w:tc>
          <w:tcPr>
            <w:tcW w:w="2000" w:type="dxa"/>
            <w:vMerge w:val="restart"/>
          </w:tcPr>
          <w:p w14:paraId="5C911434" w14:textId="77777777" w:rsidR="00D84031" w:rsidRDefault="007965BB">
            <w:pPr>
              <w:pStyle w:val="CellHeaderTextValue"/>
            </w:pPr>
            <w:r>
              <w:t>Topics</w:t>
            </w:r>
          </w:p>
        </w:tc>
        <w:tc>
          <w:tcPr>
            <w:tcW w:w="800" w:type="dxa"/>
            <w:vMerge w:val="restart"/>
          </w:tcPr>
          <w:p w14:paraId="44C0FB29" w14:textId="77777777" w:rsidR="00D84031" w:rsidRDefault="007965BB">
            <w:pPr>
              <w:pStyle w:val="CellHeaderTextValue"/>
            </w:pPr>
            <w:r>
              <w:t>Type of Action</w:t>
            </w:r>
          </w:p>
        </w:tc>
        <w:tc>
          <w:tcPr>
            <w:tcW w:w="0" w:type="auto"/>
          </w:tcPr>
          <w:p w14:paraId="3A703FCB" w14:textId="77777777" w:rsidR="00D84031" w:rsidRDefault="007965BB">
            <w:pPr>
              <w:pStyle w:val="CellHeaderTextValue"/>
            </w:pPr>
            <w:r>
              <w:t>Budgets (EUR million)</w:t>
            </w:r>
          </w:p>
        </w:tc>
        <w:tc>
          <w:tcPr>
            <w:tcW w:w="0" w:type="auto"/>
            <w:vMerge w:val="restart"/>
          </w:tcPr>
          <w:p w14:paraId="7F4C17CC" w14:textId="77777777" w:rsidR="00D84031" w:rsidRDefault="007965BB">
            <w:pPr>
              <w:pStyle w:val="CellHeaderTextValue"/>
            </w:pPr>
            <w:r>
              <w:t>Expected EU contribution per project (EUR million)</w:t>
            </w:r>
            <w:r>
              <w:rPr>
                <w:vertAlign w:val="superscript"/>
              </w:rPr>
              <w:footnoteReference w:id="5"/>
            </w:r>
          </w:p>
        </w:tc>
        <w:tc>
          <w:tcPr>
            <w:tcW w:w="800" w:type="dxa"/>
            <w:vMerge w:val="restart"/>
          </w:tcPr>
          <w:p w14:paraId="2539F123" w14:textId="77777777" w:rsidR="00D84031" w:rsidRDefault="007965BB">
            <w:pPr>
              <w:pStyle w:val="CellHeaderTextValue"/>
            </w:pPr>
            <w:r>
              <w:t>Indicative number of projects expected to be funded</w:t>
            </w:r>
          </w:p>
        </w:tc>
      </w:tr>
      <w:tr w:rsidR="00D84031" w14:paraId="2D8198A2" w14:textId="77777777">
        <w:tc>
          <w:tcPr>
            <w:tcW w:w="0" w:type="auto"/>
            <w:vMerge/>
          </w:tcPr>
          <w:p w14:paraId="6B40C8D9" w14:textId="77777777" w:rsidR="00D84031" w:rsidRDefault="00D84031"/>
        </w:tc>
        <w:tc>
          <w:tcPr>
            <w:tcW w:w="0" w:type="auto"/>
            <w:vMerge/>
          </w:tcPr>
          <w:p w14:paraId="2F662C49" w14:textId="77777777" w:rsidR="00D84031" w:rsidRDefault="00D84031"/>
        </w:tc>
        <w:tc>
          <w:tcPr>
            <w:tcW w:w="0" w:type="auto"/>
          </w:tcPr>
          <w:p w14:paraId="7DBDC54E" w14:textId="77777777" w:rsidR="00D84031" w:rsidRDefault="007965BB">
            <w:pPr>
              <w:pStyle w:val="CellHeaderTextValue"/>
            </w:pPr>
            <w:r>
              <w:t>2026</w:t>
            </w:r>
          </w:p>
        </w:tc>
        <w:tc>
          <w:tcPr>
            <w:tcW w:w="0" w:type="auto"/>
            <w:vMerge/>
          </w:tcPr>
          <w:p w14:paraId="74474AE7" w14:textId="77777777" w:rsidR="00D84031" w:rsidRDefault="00D84031"/>
        </w:tc>
        <w:tc>
          <w:tcPr>
            <w:tcW w:w="0" w:type="auto"/>
            <w:vMerge/>
          </w:tcPr>
          <w:p w14:paraId="6E116CA3" w14:textId="77777777" w:rsidR="00D84031" w:rsidRDefault="00D84031"/>
        </w:tc>
      </w:tr>
      <w:tr w:rsidR="00C62CF4" w14:paraId="3EB88990" w14:textId="77777777" w:rsidTr="00C62CF4">
        <w:tc>
          <w:tcPr>
            <w:tcW w:w="0" w:type="auto"/>
            <w:gridSpan w:val="5"/>
          </w:tcPr>
          <w:p w14:paraId="5FC95C96" w14:textId="77777777" w:rsidR="00D84031" w:rsidRDefault="007965BB">
            <w:pPr>
              <w:pStyle w:val="CellTextValue"/>
              <w:jc w:val="center"/>
            </w:pPr>
            <w:r>
              <w:t>Opening: 12 May 2026</w:t>
            </w:r>
          </w:p>
          <w:p w14:paraId="4AF1C93F" w14:textId="77777777" w:rsidR="00D84031" w:rsidRDefault="007965BB">
            <w:pPr>
              <w:pStyle w:val="CellTextValue"/>
              <w:jc w:val="center"/>
            </w:pPr>
            <w:r>
              <w:t>Deadline(s): 16 Sep 2026</w:t>
            </w:r>
          </w:p>
        </w:tc>
      </w:tr>
      <w:tr w:rsidR="00C62CF4" w14:paraId="6DC52B63" w14:textId="77777777" w:rsidTr="00C62CF4">
        <w:tc>
          <w:tcPr>
            <w:tcW w:w="0" w:type="auto"/>
            <w:gridSpan w:val="5"/>
          </w:tcPr>
          <w:p w14:paraId="488232ED" w14:textId="77777777" w:rsidR="00D84031" w:rsidRDefault="007965BB">
            <w:pPr>
              <w:pStyle w:val="CellTextValue"/>
            </w:pPr>
            <w:r>
              <w:t>Destination Innovative Research on Democracy and Governance</w:t>
            </w:r>
          </w:p>
        </w:tc>
      </w:tr>
      <w:tr w:rsidR="00D84031" w14:paraId="6F397B8D" w14:textId="77777777">
        <w:tc>
          <w:tcPr>
            <w:tcW w:w="0" w:type="auto"/>
          </w:tcPr>
          <w:p w14:paraId="401E7697" w14:textId="77777777" w:rsidR="00D84031" w:rsidRDefault="007965BB">
            <w:pPr>
              <w:pStyle w:val="CellTextValue"/>
            </w:pPr>
            <w:r>
              <w:t xml:space="preserve">HORIZON-CL2-2026-01-DEMOCRACY-01: Tackling gender-based violence against politically active women and LGBTIQ people </w:t>
            </w:r>
          </w:p>
        </w:tc>
        <w:tc>
          <w:tcPr>
            <w:tcW w:w="0" w:type="auto"/>
          </w:tcPr>
          <w:p w14:paraId="6BB861FC" w14:textId="77777777" w:rsidR="00D84031" w:rsidRDefault="007965BB">
            <w:pPr>
              <w:pStyle w:val="CellTextValue"/>
            </w:pPr>
            <w:r>
              <w:t>RIA</w:t>
            </w:r>
          </w:p>
        </w:tc>
        <w:tc>
          <w:tcPr>
            <w:tcW w:w="0" w:type="auto"/>
            <w:vMerge w:val="restart"/>
          </w:tcPr>
          <w:p w14:paraId="1B93E64D" w14:textId="77777777" w:rsidR="00D84031" w:rsidRDefault="007965BB">
            <w:pPr>
              <w:pStyle w:val="CellTextValue"/>
            </w:pPr>
            <w:r>
              <w:t>12.00</w:t>
            </w:r>
          </w:p>
        </w:tc>
        <w:tc>
          <w:tcPr>
            <w:tcW w:w="0" w:type="auto"/>
          </w:tcPr>
          <w:p w14:paraId="13F6E53A" w14:textId="77777777" w:rsidR="00D84031" w:rsidRDefault="007965BB">
            <w:pPr>
              <w:pStyle w:val="CellTextValue"/>
            </w:pPr>
            <w:r>
              <w:t>3.50 to 4.00</w:t>
            </w:r>
          </w:p>
        </w:tc>
        <w:tc>
          <w:tcPr>
            <w:tcW w:w="0" w:type="auto"/>
          </w:tcPr>
          <w:p w14:paraId="01C49FF7" w14:textId="77777777" w:rsidR="00D84031" w:rsidRDefault="007965BB">
            <w:pPr>
              <w:pStyle w:val="CellTextValue"/>
            </w:pPr>
            <w:r>
              <w:t>3</w:t>
            </w:r>
          </w:p>
        </w:tc>
      </w:tr>
      <w:tr w:rsidR="00D84031" w14:paraId="163CA7DB" w14:textId="77777777">
        <w:tc>
          <w:tcPr>
            <w:tcW w:w="0" w:type="auto"/>
          </w:tcPr>
          <w:p w14:paraId="0B45D29B" w14:textId="77777777" w:rsidR="00D84031" w:rsidRDefault="007965BB">
            <w:pPr>
              <w:pStyle w:val="CellTextValue"/>
            </w:pPr>
            <w:r>
              <w:t xml:space="preserve">HORIZON-CL2-2026-01-DEMOCRACY-02: Understanding the forms of local democracy in low-income and low-middle income countries </w:t>
            </w:r>
          </w:p>
        </w:tc>
        <w:tc>
          <w:tcPr>
            <w:tcW w:w="0" w:type="auto"/>
          </w:tcPr>
          <w:p w14:paraId="10AD2A9A" w14:textId="77777777" w:rsidR="00D84031" w:rsidRDefault="007965BB">
            <w:pPr>
              <w:pStyle w:val="CellTextValue"/>
            </w:pPr>
            <w:r>
              <w:t>RIA</w:t>
            </w:r>
          </w:p>
        </w:tc>
        <w:tc>
          <w:tcPr>
            <w:tcW w:w="0" w:type="auto"/>
            <w:vMerge w:val="restart"/>
          </w:tcPr>
          <w:p w14:paraId="5E480274" w14:textId="77777777" w:rsidR="00D84031" w:rsidRDefault="007965BB">
            <w:pPr>
              <w:pStyle w:val="CellTextValue"/>
            </w:pPr>
            <w:r>
              <w:t>12.00</w:t>
            </w:r>
          </w:p>
        </w:tc>
        <w:tc>
          <w:tcPr>
            <w:tcW w:w="0" w:type="auto"/>
          </w:tcPr>
          <w:p w14:paraId="0B92F1F0" w14:textId="77777777" w:rsidR="00D84031" w:rsidRDefault="007965BB">
            <w:pPr>
              <w:pStyle w:val="CellTextValue"/>
            </w:pPr>
            <w:r>
              <w:t>3.50 to 4.00</w:t>
            </w:r>
          </w:p>
        </w:tc>
        <w:tc>
          <w:tcPr>
            <w:tcW w:w="0" w:type="auto"/>
          </w:tcPr>
          <w:p w14:paraId="1F5836D7" w14:textId="77777777" w:rsidR="00D84031" w:rsidRDefault="007965BB">
            <w:pPr>
              <w:pStyle w:val="CellTextValue"/>
            </w:pPr>
            <w:r>
              <w:t>3</w:t>
            </w:r>
          </w:p>
        </w:tc>
      </w:tr>
      <w:tr w:rsidR="00D84031" w14:paraId="7AADC632" w14:textId="77777777">
        <w:tc>
          <w:tcPr>
            <w:tcW w:w="0" w:type="auto"/>
          </w:tcPr>
          <w:p w14:paraId="3000368E" w14:textId="77777777" w:rsidR="00D84031" w:rsidRDefault="007965BB">
            <w:pPr>
              <w:pStyle w:val="CellTextValue"/>
            </w:pPr>
            <w:r>
              <w:t xml:space="preserve">HORIZON-CL2-2026-01-DEMOCRACY-03: Government in transition – how governments change the way they work and prepare the civil service for the future </w:t>
            </w:r>
          </w:p>
        </w:tc>
        <w:tc>
          <w:tcPr>
            <w:tcW w:w="0" w:type="auto"/>
          </w:tcPr>
          <w:p w14:paraId="1339AFB1" w14:textId="77777777" w:rsidR="00D84031" w:rsidRDefault="007965BB">
            <w:pPr>
              <w:pStyle w:val="CellTextValue"/>
            </w:pPr>
            <w:r>
              <w:t>RIA</w:t>
            </w:r>
          </w:p>
        </w:tc>
        <w:tc>
          <w:tcPr>
            <w:tcW w:w="0" w:type="auto"/>
            <w:vMerge w:val="restart"/>
          </w:tcPr>
          <w:p w14:paraId="2715E56E" w14:textId="77777777" w:rsidR="00D84031" w:rsidRDefault="007965BB">
            <w:pPr>
              <w:pStyle w:val="CellTextValue"/>
            </w:pPr>
            <w:r>
              <w:t>8.00</w:t>
            </w:r>
          </w:p>
        </w:tc>
        <w:tc>
          <w:tcPr>
            <w:tcW w:w="0" w:type="auto"/>
          </w:tcPr>
          <w:p w14:paraId="0E0F756C" w14:textId="77777777" w:rsidR="00D84031" w:rsidRDefault="007965BB">
            <w:pPr>
              <w:pStyle w:val="CellTextValue"/>
            </w:pPr>
            <w:r>
              <w:t>3.50 to 4.00</w:t>
            </w:r>
          </w:p>
        </w:tc>
        <w:tc>
          <w:tcPr>
            <w:tcW w:w="0" w:type="auto"/>
          </w:tcPr>
          <w:p w14:paraId="02185627" w14:textId="77777777" w:rsidR="00D84031" w:rsidRDefault="007965BB">
            <w:pPr>
              <w:pStyle w:val="CellTextValue"/>
            </w:pPr>
            <w:r>
              <w:t>2</w:t>
            </w:r>
          </w:p>
        </w:tc>
      </w:tr>
      <w:tr w:rsidR="00D84031" w14:paraId="786FB01B" w14:textId="77777777">
        <w:tc>
          <w:tcPr>
            <w:tcW w:w="0" w:type="auto"/>
          </w:tcPr>
          <w:p w14:paraId="77995690" w14:textId="77777777" w:rsidR="00D84031" w:rsidRDefault="007965BB">
            <w:pPr>
              <w:pStyle w:val="CellTextValue"/>
            </w:pPr>
            <w:r>
              <w:t>HORIZON-CL2-2026-01-DEMOCRACY-04: Sustainable paths to media viability</w:t>
            </w:r>
          </w:p>
        </w:tc>
        <w:tc>
          <w:tcPr>
            <w:tcW w:w="0" w:type="auto"/>
          </w:tcPr>
          <w:p w14:paraId="509AC088" w14:textId="77777777" w:rsidR="00D84031" w:rsidRDefault="007965BB">
            <w:pPr>
              <w:pStyle w:val="CellTextValue"/>
            </w:pPr>
            <w:r>
              <w:t>IA</w:t>
            </w:r>
          </w:p>
        </w:tc>
        <w:tc>
          <w:tcPr>
            <w:tcW w:w="0" w:type="auto"/>
            <w:vMerge w:val="restart"/>
          </w:tcPr>
          <w:p w14:paraId="5BD902BD" w14:textId="77777777" w:rsidR="00D84031" w:rsidRDefault="007965BB">
            <w:pPr>
              <w:pStyle w:val="CellTextValue"/>
            </w:pPr>
            <w:r>
              <w:t>12.00</w:t>
            </w:r>
          </w:p>
        </w:tc>
        <w:tc>
          <w:tcPr>
            <w:tcW w:w="0" w:type="auto"/>
          </w:tcPr>
          <w:p w14:paraId="2F4AE4A1" w14:textId="77777777" w:rsidR="00D84031" w:rsidRDefault="007965BB">
            <w:pPr>
              <w:pStyle w:val="CellTextValue"/>
            </w:pPr>
            <w:r>
              <w:t>3.50 to 4.00</w:t>
            </w:r>
          </w:p>
        </w:tc>
        <w:tc>
          <w:tcPr>
            <w:tcW w:w="0" w:type="auto"/>
          </w:tcPr>
          <w:p w14:paraId="6731B167" w14:textId="77777777" w:rsidR="00D84031" w:rsidRDefault="007965BB">
            <w:pPr>
              <w:pStyle w:val="CellTextValue"/>
            </w:pPr>
            <w:r>
              <w:t>3</w:t>
            </w:r>
          </w:p>
        </w:tc>
      </w:tr>
      <w:tr w:rsidR="00D84031" w14:paraId="29FC718D" w14:textId="77777777">
        <w:tc>
          <w:tcPr>
            <w:tcW w:w="0" w:type="auto"/>
          </w:tcPr>
          <w:p w14:paraId="6FC3E707" w14:textId="77777777" w:rsidR="00D84031" w:rsidRDefault="007965BB">
            <w:pPr>
              <w:pStyle w:val="CellTextValue"/>
            </w:pPr>
            <w:r>
              <w:lastRenderedPageBreak/>
              <w:t>HORIZON-CL2-2026-01-DEMOCRACY-05: Research and Innovation Network for a Union of Equality</w:t>
            </w:r>
          </w:p>
        </w:tc>
        <w:tc>
          <w:tcPr>
            <w:tcW w:w="0" w:type="auto"/>
          </w:tcPr>
          <w:p w14:paraId="4982F50C" w14:textId="77777777" w:rsidR="00D84031" w:rsidRDefault="007965BB">
            <w:pPr>
              <w:pStyle w:val="CellTextValue"/>
            </w:pPr>
            <w:r>
              <w:t>CSA</w:t>
            </w:r>
          </w:p>
        </w:tc>
        <w:tc>
          <w:tcPr>
            <w:tcW w:w="0" w:type="auto"/>
            <w:vMerge w:val="restart"/>
          </w:tcPr>
          <w:p w14:paraId="3FFFB0CA" w14:textId="77777777" w:rsidR="00D84031" w:rsidRDefault="007965BB">
            <w:pPr>
              <w:pStyle w:val="CellTextValue"/>
            </w:pPr>
            <w:r>
              <w:t>4.50</w:t>
            </w:r>
          </w:p>
        </w:tc>
        <w:tc>
          <w:tcPr>
            <w:tcW w:w="0" w:type="auto"/>
          </w:tcPr>
          <w:p w14:paraId="4F2E10A5" w14:textId="77777777" w:rsidR="00D84031" w:rsidRDefault="007965BB">
            <w:pPr>
              <w:pStyle w:val="CellTextValue"/>
            </w:pPr>
            <w:r>
              <w:t>4.00 to 4.50</w:t>
            </w:r>
          </w:p>
        </w:tc>
        <w:tc>
          <w:tcPr>
            <w:tcW w:w="0" w:type="auto"/>
          </w:tcPr>
          <w:p w14:paraId="35416CEC" w14:textId="77777777" w:rsidR="00D84031" w:rsidRDefault="007965BB">
            <w:pPr>
              <w:pStyle w:val="CellTextValue"/>
            </w:pPr>
            <w:r>
              <w:t>1</w:t>
            </w:r>
          </w:p>
        </w:tc>
      </w:tr>
      <w:tr w:rsidR="00D84031" w14:paraId="17907D6F" w14:textId="77777777">
        <w:tc>
          <w:tcPr>
            <w:tcW w:w="0" w:type="auto"/>
          </w:tcPr>
          <w:p w14:paraId="549D0391" w14:textId="77777777" w:rsidR="00D84031" w:rsidRDefault="007965BB">
            <w:pPr>
              <w:pStyle w:val="CellTextValue"/>
            </w:pPr>
            <w:r>
              <w:t>HORIZON-CL2-2026-01-DEMOCRACY-06: Governing global commons sustainably</w:t>
            </w:r>
          </w:p>
        </w:tc>
        <w:tc>
          <w:tcPr>
            <w:tcW w:w="0" w:type="auto"/>
          </w:tcPr>
          <w:p w14:paraId="269EA73F" w14:textId="77777777" w:rsidR="00D84031" w:rsidRDefault="007965BB">
            <w:pPr>
              <w:pStyle w:val="CellTextValue"/>
            </w:pPr>
            <w:r>
              <w:t>RIA</w:t>
            </w:r>
          </w:p>
        </w:tc>
        <w:tc>
          <w:tcPr>
            <w:tcW w:w="0" w:type="auto"/>
            <w:vMerge w:val="restart"/>
          </w:tcPr>
          <w:p w14:paraId="2F82DFFF" w14:textId="77777777" w:rsidR="00D84031" w:rsidRDefault="007965BB">
            <w:pPr>
              <w:pStyle w:val="CellTextValue"/>
            </w:pPr>
            <w:r>
              <w:t>12.00</w:t>
            </w:r>
          </w:p>
        </w:tc>
        <w:tc>
          <w:tcPr>
            <w:tcW w:w="0" w:type="auto"/>
          </w:tcPr>
          <w:p w14:paraId="4AD817BF" w14:textId="77777777" w:rsidR="00D84031" w:rsidRDefault="007965BB">
            <w:pPr>
              <w:pStyle w:val="CellTextValue"/>
            </w:pPr>
            <w:r>
              <w:t>3.50 to 4.00</w:t>
            </w:r>
          </w:p>
        </w:tc>
        <w:tc>
          <w:tcPr>
            <w:tcW w:w="0" w:type="auto"/>
          </w:tcPr>
          <w:p w14:paraId="5F13D99E" w14:textId="77777777" w:rsidR="00D84031" w:rsidRDefault="007965BB">
            <w:pPr>
              <w:pStyle w:val="CellTextValue"/>
            </w:pPr>
            <w:r>
              <w:t>3</w:t>
            </w:r>
          </w:p>
        </w:tc>
      </w:tr>
      <w:tr w:rsidR="00D84031" w14:paraId="48771EA0" w14:textId="77777777">
        <w:tc>
          <w:tcPr>
            <w:tcW w:w="0" w:type="auto"/>
          </w:tcPr>
          <w:p w14:paraId="1D28C88B" w14:textId="77777777" w:rsidR="00D84031" w:rsidRDefault="007965BB">
            <w:pPr>
              <w:pStyle w:val="CellTextValue"/>
            </w:pPr>
            <w:r>
              <w:t>HORIZON-CL2-2026-01-DEMOCRACY-07: Supporting post-conflict democracy and reconstruction</w:t>
            </w:r>
          </w:p>
        </w:tc>
        <w:tc>
          <w:tcPr>
            <w:tcW w:w="0" w:type="auto"/>
          </w:tcPr>
          <w:p w14:paraId="40A23F55" w14:textId="77777777" w:rsidR="00D84031" w:rsidRDefault="007965BB">
            <w:pPr>
              <w:pStyle w:val="CellTextValue"/>
            </w:pPr>
            <w:r>
              <w:t>RIA</w:t>
            </w:r>
          </w:p>
        </w:tc>
        <w:tc>
          <w:tcPr>
            <w:tcW w:w="0" w:type="auto"/>
            <w:vMerge w:val="restart"/>
          </w:tcPr>
          <w:p w14:paraId="2B647A9E" w14:textId="77777777" w:rsidR="00D84031" w:rsidRDefault="007965BB">
            <w:pPr>
              <w:pStyle w:val="CellTextValue"/>
            </w:pPr>
            <w:r>
              <w:t>12.00</w:t>
            </w:r>
          </w:p>
        </w:tc>
        <w:tc>
          <w:tcPr>
            <w:tcW w:w="0" w:type="auto"/>
          </w:tcPr>
          <w:p w14:paraId="48C0D7F7" w14:textId="77777777" w:rsidR="00D84031" w:rsidRDefault="007965BB">
            <w:pPr>
              <w:pStyle w:val="CellTextValue"/>
            </w:pPr>
            <w:r>
              <w:t>3.50 to 4.00</w:t>
            </w:r>
          </w:p>
        </w:tc>
        <w:tc>
          <w:tcPr>
            <w:tcW w:w="0" w:type="auto"/>
          </w:tcPr>
          <w:p w14:paraId="2929ED08" w14:textId="77777777" w:rsidR="00D84031" w:rsidRDefault="007965BB">
            <w:pPr>
              <w:pStyle w:val="CellTextValue"/>
            </w:pPr>
            <w:r>
              <w:t>3</w:t>
            </w:r>
          </w:p>
        </w:tc>
      </w:tr>
      <w:tr w:rsidR="00D84031" w14:paraId="31A8993A" w14:textId="77777777">
        <w:tc>
          <w:tcPr>
            <w:tcW w:w="0" w:type="auto"/>
          </w:tcPr>
          <w:p w14:paraId="1CDECE59" w14:textId="77777777" w:rsidR="00D84031" w:rsidRDefault="007965BB">
            <w:pPr>
              <w:pStyle w:val="CellTextValue"/>
            </w:pPr>
            <w:r>
              <w:t xml:space="preserve">HORIZON-CL2-2026-01-DEMOCRACY-08: Electoral integrity in the digital context </w:t>
            </w:r>
          </w:p>
        </w:tc>
        <w:tc>
          <w:tcPr>
            <w:tcW w:w="0" w:type="auto"/>
          </w:tcPr>
          <w:p w14:paraId="2A9EE73A" w14:textId="77777777" w:rsidR="00D84031" w:rsidRDefault="007965BB">
            <w:pPr>
              <w:pStyle w:val="CellTextValue"/>
            </w:pPr>
            <w:r>
              <w:t>RIA</w:t>
            </w:r>
          </w:p>
        </w:tc>
        <w:tc>
          <w:tcPr>
            <w:tcW w:w="0" w:type="auto"/>
            <w:vMerge w:val="restart"/>
          </w:tcPr>
          <w:p w14:paraId="2D196D12" w14:textId="77777777" w:rsidR="00D84031" w:rsidRDefault="007965BB">
            <w:pPr>
              <w:pStyle w:val="CellTextValue"/>
            </w:pPr>
            <w:r>
              <w:t>12.00</w:t>
            </w:r>
          </w:p>
        </w:tc>
        <w:tc>
          <w:tcPr>
            <w:tcW w:w="0" w:type="auto"/>
          </w:tcPr>
          <w:p w14:paraId="437A0C94" w14:textId="77777777" w:rsidR="00D84031" w:rsidRDefault="007965BB">
            <w:pPr>
              <w:pStyle w:val="CellTextValue"/>
            </w:pPr>
            <w:r>
              <w:t>3.50 to 4.00</w:t>
            </w:r>
          </w:p>
        </w:tc>
        <w:tc>
          <w:tcPr>
            <w:tcW w:w="0" w:type="auto"/>
          </w:tcPr>
          <w:p w14:paraId="3C4156B8" w14:textId="77777777" w:rsidR="00D84031" w:rsidRDefault="007965BB">
            <w:pPr>
              <w:pStyle w:val="CellTextValue"/>
            </w:pPr>
            <w:r>
              <w:t>3</w:t>
            </w:r>
          </w:p>
        </w:tc>
      </w:tr>
      <w:tr w:rsidR="00D84031" w14:paraId="2B07BF17" w14:textId="77777777">
        <w:tc>
          <w:tcPr>
            <w:tcW w:w="0" w:type="auto"/>
          </w:tcPr>
          <w:p w14:paraId="2C0B0B61" w14:textId="77777777" w:rsidR="00D84031" w:rsidRDefault="007965BB">
            <w:pPr>
              <w:pStyle w:val="CellTextValue"/>
            </w:pPr>
            <w:r>
              <w:t>HORIZON-CL2-2026-01-DEMOCRACY-09: Lifelong learning of citizenship education and citizen participation</w:t>
            </w:r>
          </w:p>
        </w:tc>
        <w:tc>
          <w:tcPr>
            <w:tcW w:w="0" w:type="auto"/>
          </w:tcPr>
          <w:p w14:paraId="3EC062C1" w14:textId="77777777" w:rsidR="00D84031" w:rsidRDefault="007965BB">
            <w:pPr>
              <w:pStyle w:val="CellTextValue"/>
            </w:pPr>
            <w:r>
              <w:t>RIA</w:t>
            </w:r>
          </w:p>
        </w:tc>
        <w:tc>
          <w:tcPr>
            <w:tcW w:w="0" w:type="auto"/>
            <w:vMerge w:val="restart"/>
          </w:tcPr>
          <w:p w14:paraId="759949C5" w14:textId="77777777" w:rsidR="00D84031" w:rsidRDefault="007965BB">
            <w:pPr>
              <w:pStyle w:val="CellTextValue"/>
            </w:pPr>
            <w:r>
              <w:t>16.00</w:t>
            </w:r>
          </w:p>
        </w:tc>
        <w:tc>
          <w:tcPr>
            <w:tcW w:w="0" w:type="auto"/>
          </w:tcPr>
          <w:p w14:paraId="14B00B99" w14:textId="77777777" w:rsidR="00D84031" w:rsidRDefault="007965BB">
            <w:pPr>
              <w:pStyle w:val="CellTextValue"/>
            </w:pPr>
            <w:r>
              <w:t>3.50 to 4.00</w:t>
            </w:r>
          </w:p>
        </w:tc>
        <w:tc>
          <w:tcPr>
            <w:tcW w:w="0" w:type="auto"/>
          </w:tcPr>
          <w:p w14:paraId="40B997F7" w14:textId="77777777" w:rsidR="00D84031" w:rsidRDefault="007965BB">
            <w:pPr>
              <w:pStyle w:val="CellTextValue"/>
            </w:pPr>
            <w:r>
              <w:t>4</w:t>
            </w:r>
          </w:p>
        </w:tc>
      </w:tr>
      <w:tr w:rsidR="00D84031" w14:paraId="3571FBF1" w14:textId="77777777">
        <w:tc>
          <w:tcPr>
            <w:tcW w:w="0" w:type="auto"/>
          </w:tcPr>
          <w:p w14:paraId="633A9F75" w14:textId="77777777" w:rsidR="00D84031" w:rsidRDefault="007965BB">
            <w:pPr>
              <w:pStyle w:val="CellTextValue"/>
            </w:pPr>
            <w:r>
              <w:t xml:space="preserve">HORIZON-CL2-2026-01-DEMOCRACY-10: Digital and media literacy as drivers for democratic and civic resilience </w:t>
            </w:r>
          </w:p>
        </w:tc>
        <w:tc>
          <w:tcPr>
            <w:tcW w:w="0" w:type="auto"/>
          </w:tcPr>
          <w:p w14:paraId="5B043DFE" w14:textId="77777777" w:rsidR="00D84031" w:rsidRDefault="007965BB">
            <w:pPr>
              <w:pStyle w:val="CellTextValue"/>
            </w:pPr>
            <w:r>
              <w:t>RIA</w:t>
            </w:r>
          </w:p>
        </w:tc>
        <w:tc>
          <w:tcPr>
            <w:tcW w:w="0" w:type="auto"/>
            <w:vMerge w:val="restart"/>
          </w:tcPr>
          <w:p w14:paraId="4CCB2818" w14:textId="77777777" w:rsidR="00D84031" w:rsidRDefault="007965BB">
            <w:pPr>
              <w:pStyle w:val="CellTextValue"/>
            </w:pPr>
            <w:r>
              <w:t>12.00</w:t>
            </w:r>
          </w:p>
        </w:tc>
        <w:tc>
          <w:tcPr>
            <w:tcW w:w="0" w:type="auto"/>
          </w:tcPr>
          <w:p w14:paraId="28CDECFF" w14:textId="77777777" w:rsidR="00D84031" w:rsidRDefault="007965BB">
            <w:pPr>
              <w:pStyle w:val="CellTextValue"/>
            </w:pPr>
            <w:r>
              <w:t xml:space="preserve">3.50 </w:t>
            </w:r>
            <w:r>
              <w:t>to 4.00</w:t>
            </w:r>
          </w:p>
        </w:tc>
        <w:tc>
          <w:tcPr>
            <w:tcW w:w="0" w:type="auto"/>
          </w:tcPr>
          <w:p w14:paraId="7F09C907" w14:textId="77777777" w:rsidR="00D84031" w:rsidRDefault="007965BB">
            <w:pPr>
              <w:pStyle w:val="CellTextValue"/>
            </w:pPr>
            <w:r>
              <w:t>3</w:t>
            </w:r>
          </w:p>
        </w:tc>
      </w:tr>
      <w:tr w:rsidR="00C62CF4" w14:paraId="1C9F275C" w14:textId="77777777" w:rsidTr="00C62CF4">
        <w:tc>
          <w:tcPr>
            <w:tcW w:w="0" w:type="auto"/>
            <w:gridSpan w:val="5"/>
          </w:tcPr>
          <w:p w14:paraId="70DB23B1" w14:textId="77777777" w:rsidR="00D84031" w:rsidRDefault="007965BB">
            <w:pPr>
              <w:pStyle w:val="CellTextValue"/>
            </w:pPr>
            <w:r>
              <w:t>Destination Innovative Research on European Cultural Heritage and Cultural and Creative Industries</w:t>
            </w:r>
          </w:p>
        </w:tc>
      </w:tr>
      <w:tr w:rsidR="00D84031" w14:paraId="10F81F3A" w14:textId="77777777">
        <w:tc>
          <w:tcPr>
            <w:tcW w:w="0" w:type="auto"/>
          </w:tcPr>
          <w:p w14:paraId="20B5B131" w14:textId="77777777" w:rsidR="00D84031" w:rsidRDefault="007965BB">
            <w:pPr>
              <w:pStyle w:val="CellTextValue"/>
            </w:pPr>
            <w:r>
              <w:t>HORIZON-CL2-2026-01-HERITAGE-01: “Artistic intelligence</w:t>
            </w:r>
            <w:proofErr w:type="gramStart"/>
            <w:r>
              <w:t>” :</w:t>
            </w:r>
            <w:proofErr w:type="gramEnd"/>
            <w:r>
              <w:t xml:space="preserve"> harnessing the power of the arts to address complex challenges, enhance soft </w:t>
            </w:r>
            <w:r>
              <w:t>skills and boost innovation and competitiveness</w:t>
            </w:r>
          </w:p>
        </w:tc>
        <w:tc>
          <w:tcPr>
            <w:tcW w:w="0" w:type="auto"/>
          </w:tcPr>
          <w:p w14:paraId="755B6430" w14:textId="77777777" w:rsidR="00D84031" w:rsidRDefault="007965BB">
            <w:pPr>
              <w:pStyle w:val="CellTextValue"/>
            </w:pPr>
            <w:r>
              <w:t>RIA</w:t>
            </w:r>
          </w:p>
        </w:tc>
        <w:tc>
          <w:tcPr>
            <w:tcW w:w="0" w:type="auto"/>
            <w:vMerge w:val="restart"/>
          </w:tcPr>
          <w:p w14:paraId="4E1F78E7" w14:textId="77777777" w:rsidR="00D84031" w:rsidRDefault="007965BB">
            <w:pPr>
              <w:pStyle w:val="CellTextValue"/>
            </w:pPr>
            <w:r>
              <w:t>15.00</w:t>
            </w:r>
          </w:p>
        </w:tc>
        <w:tc>
          <w:tcPr>
            <w:tcW w:w="0" w:type="auto"/>
          </w:tcPr>
          <w:p w14:paraId="286E0C50" w14:textId="77777777" w:rsidR="00D84031" w:rsidRDefault="007965BB">
            <w:pPr>
              <w:pStyle w:val="CellTextValue"/>
            </w:pPr>
            <w:r>
              <w:t>4.50 to 5.00</w:t>
            </w:r>
          </w:p>
        </w:tc>
        <w:tc>
          <w:tcPr>
            <w:tcW w:w="0" w:type="auto"/>
          </w:tcPr>
          <w:p w14:paraId="20DB1D1A" w14:textId="77777777" w:rsidR="00D84031" w:rsidRDefault="007965BB">
            <w:pPr>
              <w:pStyle w:val="CellTextValue"/>
            </w:pPr>
            <w:r>
              <w:t>3</w:t>
            </w:r>
          </w:p>
        </w:tc>
      </w:tr>
      <w:tr w:rsidR="00D84031" w14:paraId="504F12BB" w14:textId="77777777">
        <w:tc>
          <w:tcPr>
            <w:tcW w:w="0" w:type="auto"/>
          </w:tcPr>
          <w:p w14:paraId="19D2B111" w14:textId="77777777" w:rsidR="00D84031" w:rsidRDefault="007965BB">
            <w:pPr>
              <w:pStyle w:val="CellTextValue"/>
            </w:pPr>
            <w:r>
              <w:t>HORIZON-CL2-2026-01-HERITAGE-02: Boosting creative startups for disruptive innovation</w:t>
            </w:r>
          </w:p>
        </w:tc>
        <w:tc>
          <w:tcPr>
            <w:tcW w:w="0" w:type="auto"/>
          </w:tcPr>
          <w:p w14:paraId="42DF871B" w14:textId="77777777" w:rsidR="00D84031" w:rsidRDefault="007965BB">
            <w:pPr>
              <w:pStyle w:val="CellTextValue"/>
            </w:pPr>
            <w:r>
              <w:t>IA</w:t>
            </w:r>
          </w:p>
        </w:tc>
        <w:tc>
          <w:tcPr>
            <w:tcW w:w="0" w:type="auto"/>
            <w:vMerge w:val="restart"/>
          </w:tcPr>
          <w:p w14:paraId="144EFDEA" w14:textId="77777777" w:rsidR="00D84031" w:rsidRDefault="007965BB">
            <w:pPr>
              <w:pStyle w:val="CellTextValue"/>
            </w:pPr>
            <w:r>
              <w:t>12.00</w:t>
            </w:r>
          </w:p>
        </w:tc>
        <w:tc>
          <w:tcPr>
            <w:tcW w:w="0" w:type="auto"/>
          </w:tcPr>
          <w:p w14:paraId="356FAB16" w14:textId="77777777" w:rsidR="00D84031" w:rsidRDefault="007965BB">
            <w:pPr>
              <w:pStyle w:val="CellTextValue"/>
            </w:pPr>
            <w:r>
              <w:t>5.00 to 6.00</w:t>
            </w:r>
          </w:p>
        </w:tc>
        <w:tc>
          <w:tcPr>
            <w:tcW w:w="0" w:type="auto"/>
          </w:tcPr>
          <w:p w14:paraId="180343DC" w14:textId="77777777" w:rsidR="00D84031" w:rsidRDefault="007965BB">
            <w:pPr>
              <w:pStyle w:val="CellTextValue"/>
            </w:pPr>
            <w:r>
              <w:t>2</w:t>
            </w:r>
          </w:p>
        </w:tc>
      </w:tr>
      <w:tr w:rsidR="00D84031" w14:paraId="0C26C5E2" w14:textId="77777777">
        <w:tc>
          <w:tcPr>
            <w:tcW w:w="0" w:type="auto"/>
          </w:tcPr>
          <w:p w14:paraId="048E788A" w14:textId="77777777" w:rsidR="00D84031" w:rsidRDefault="007965BB">
            <w:pPr>
              <w:pStyle w:val="CellTextValue"/>
            </w:pPr>
            <w:r>
              <w:t xml:space="preserve">HORIZON-CL2-2026-01-HERITAGE-03: AI integration in CCSI work </w:t>
            </w:r>
            <w:r>
              <w:t>practice: catalysing innovation and competitiveness</w:t>
            </w:r>
          </w:p>
        </w:tc>
        <w:tc>
          <w:tcPr>
            <w:tcW w:w="0" w:type="auto"/>
          </w:tcPr>
          <w:p w14:paraId="68B2E91F" w14:textId="77777777" w:rsidR="00D84031" w:rsidRDefault="007965BB">
            <w:pPr>
              <w:pStyle w:val="CellTextValue"/>
            </w:pPr>
            <w:r>
              <w:t>IA</w:t>
            </w:r>
          </w:p>
        </w:tc>
        <w:tc>
          <w:tcPr>
            <w:tcW w:w="0" w:type="auto"/>
            <w:vMerge w:val="restart"/>
          </w:tcPr>
          <w:p w14:paraId="32A643CC" w14:textId="77777777" w:rsidR="00D84031" w:rsidRDefault="007965BB">
            <w:pPr>
              <w:pStyle w:val="CellTextValue"/>
            </w:pPr>
            <w:r>
              <w:t>15.00</w:t>
            </w:r>
          </w:p>
        </w:tc>
        <w:tc>
          <w:tcPr>
            <w:tcW w:w="0" w:type="auto"/>
          </w:tcPr>
          <w:p w14:paraId="2F83B46A" w14:textId="77777777" w:rsidR="00D84031" w:rsidRDefault="007965BB">
            <w:pPr>
              <w:pStyle w:val="CellTextValue"/>
            </w:pPr>
            <w:r>
              <w:t>4.00 to 5.00</w:t>
            </w:r>
          </w:p>
        </w:tc>
        <w:tc>
          <w:tcPr>
            <w:tcW w:w="0" w:type="auto"/>
          </w:tcPr>
          <w:p w14:paraId="6AAD0F09" w14:textId="77777777" w:rsidR="00D84031" w:rsidRDefault="007965BB">
            <w:pPr>
              <w:pStyle w:val="CellTextValue"/>
            </w:pPr>
            <w:r>
              <w:t>3</w:t>
            </w:r>
          </w:p>
        </w:tc>
      </w:tr>
      <w:tr w:rsidR="00D84031" w14:paraId="397D2257" w14:textId="77777777">
        <w:tc>
          <w:tcPr>
            <w:tcW w:w="0" w:type="auto"/>
          </w:tcPr>
          <w:p w14:paraId="46821B02" w14:textId="77777777" w:rsidR="00D84031" w:rsidRDefault="007965BB">
            <w:pPr>
              <w:pStyle w:val="CellTextValue"/>
            </w:pPr>
            <w:r>
              <w:t>HORIZON-CL2-2026-01-HERITAGE-04: Towards a fair and transparent market for cultural and creative content in the era of generative AI</w:t>
            </w:r>
          </w:p>
        </w:tc>
        <w:tc>
          <w:tcPr>
            <w:tcW w:w="0" w:type="auto"/>
          </w:tcPr>
          <w:p w14:paraId="08530681" w14:textId="77777777" w:rsidR="00D84031" w:rsidRDefault="007965BB">
            <w:pPr>
              <w:pStyle w:val="CellTextValue"/>
            </w:pPr>
            <w:r>
              <w:t>RIA</w:t>
            </w:r>
          </w:p>
        </w:tc>
        <w:tc>
          <w:tcPr>
            <w:tcW w:w="0" w:type="auto"/>
            <w:vMerge w:val="restart"/>
          </w:tcPr>
          <w:p w14:paraId="742D301E" w14:textId="77777777" w:rsidR="00D84031" w:rsidRDefault="007965BB">
            <w:pPr>
              <w:pStyle w:val="CellTextValue"/>
            </w:pPr>
            <w:r>
              <w:t>12.00</w:t>
            </w:r>
          </w:p>
        </w:tc>
        <w:tc>
          <w:tcPr>
            <w:tcW w:w="0" w:type="auto"/>
          </w:tcPr>
          <w:p w14:paraId="049BE404" w14:textId="77777777" w:rsidR="00D84031" w:rsidRDefault="007965BB">
            <w:pPr>
              <w:pStyle w:val="CellTextValue"/>
            </w:pPr>
            <w:r>
              <w:t>3.00 to 4.00</w:t>
            </w:r>
          </w:p>
        </w:tc>
        <w:tc>
          <w:tcPr>
            <w:tcW w:w="0" w:type="auto"/>
          </w:tcPr>
          <w:p w14:paraId="6B871D54" w14:textId="77777777" w:rsidR="00D84031" w:rsidRDefault="007965BB">
            <w:pPr>
              <w:pStyle w:val="CellTextValue"/>
            </w:pPr>
            <w:r>
              <w:t>3</w:t>
            </w:r>
          </w:p>
        </w:tc>
      </w:tr>
      <w:tr w:rsidR="00D84031" w14:paraId="720B6C6E" w14:textId="77777777">
        <w:tc>
          <w:tcPr>
            <w:tcW w:w="0" w:type="auto"/>
          </w:tcPr>
          <w:p w14:paraId="109B4324" w14:textId="77777777" w:rsidR="00D84031" w:rsidRDefault="007965BB">
            <w:pPr>
              <w:pStyle w:val="CellTextValue"/>
            </w:pPr>
            <w:r>
              <w:t xml:space="preserve">HORIZON-CL2-2026-01-HERITAGE-05: Creative alliances: Fostering global partnerships in cultural policies and CCI </w:t>
            </w:r>
            <w:r>
              <w:lastRenderedPageBreak/>
              <w:t>innovation</w:t>
            </w:r>
          </w:p>
        </w:tc>
        <w:tc>
          <w:tcPr>
            <w:tcW w:w="0" w:type="auto"/>
          </w:tcPr>
          <w:p w14:paraId="2F6B8642" w14:textId="77777777" w:rsidR="00D84031" w:rsidRDefault="007965BB">
            <w:pPr>
              <w:pStyle w:val="CellTextValue"/>
            </w:pPr>
            <w:r>
              <w:lastRenderedPageBreak/>
              <w:t>RIA</w:t>
            </w:r>
          </w:p>
        </w:tc>
        <w:tc>
          <w:tcPr>
            <w:tcW w:w="0" w:type="auto"/>
            <w:vMerge w:val="restart"/>
          </w:tcPr>
          <w:p w14:paraId="4B0A6512" w14:textId="77777777" w:rsidR="00D84031" w:rsidRDefault="007965BB">
            <w:pPr>
              <w:pStyle w:val="CellTextValue"/>
            </w:pPr>
            <w:r>
              <w:t>15.00</w:t>
            </w:r>
          </w:p>
        </w:tc>
        <w:tc>
          <w:tcPr>
            <w:tcW w:w="0" w:type="auto"/>
          </w:tcPr>
          <w:p w14:paraId="68D44E3C" w14:textId="77777777" w:rsidR="00D84031" w:rsidRDefault="007965BB">
            <w:pPr>
              <w:pStyle w:val="CellTextValue"/>
            </w:pPr>
            <w:r>
              <w:t>3.00 to 3.75</w:t>
            </w:r>
          </w:p>
        </w:tc>
        <w:tc>
          <w:tcPr>
            <w:tcW w:w="0" w:type="auto"/>
          </w:tcPr>
          <w:p w14:paraId="33CA46D0" w14:textId="77777777" w:rsidR="00D84031" w:rsidRDefault="007965BB">
            <w:pPr>
              <w:pStyle w:val="CellTextValue"/>
            </w:pPr>
            <w:r>
              <w:t>4</w:t>
            </w:r>
          </w:p>
        </w:tc>
      </w:tr>
      <w:tr w:rsidR="00D84031" w14:paraId="754F064E" w14:textId="77777777">
        <w:tc>
          <w:tcPr>
            <w:tcW w:w="0" w:type="auto"/>
          </w:tcPr>
          <w:p w14:paraId="3B4BB41E" w14:textId="77777777" w:rsidR="00D84031" w:rsidRDefault="007965BB">
            <w:pPr>
              <w:pStyle w:val="CellTextValue"/>
            </w:pPr>
            <w:r>
              <w:t>HORIZON-CL2-2026-01-HERITAGE-06: Safeguarding linguistic diversity in Europe</w:t>
            </w:r>
          </w:p>
        </w:tc>
        <w:tc>
          <w:tcPr>
            <w:tcW w:w="0" w:type="auto"/>
          </w:tcPr>
          <w:p w14:paraId="6249BBFD" w14:textId="77777777" w:rsidR="00D84031" w:rsidRDefault="007965BB">
            <w:pPr>
              <w:pStyle w:val="CellTextValue"/>
            </w:pPr>
            <w:r>
              <w:t>RIA</w:t>
            </w:r>
          </w:p>
        </w:tc>
        <w:tc>
          <w:tcPr>
            <w:tcW w:w="0" w:type="auto"/>
            <w:vMerge w:val="restart"/>
          </w:tcPr>
          <w:p w14:paraId="41BDB1A0" w14:textId="77777777" w:rsidR="00D84031" w:rsidRDefault="007965BB">
            <w:pPr>
              <w:pStyle w:val="CellTextValue"/>
            </w:pPr>
            <w:r>
              <w:t>11.50</w:t>
            </w:r>
          </w:p>
        </w:tc>
        <w:tc>
          <w:tcPr>
            <w:tcW w:w="0" w:type="auto"/>
          </w:tcPr>
          <w:p w14:paraId="2554235D" w14:textId="77777777" w:rsidR="00D84031" w:rsidRDefault="007965BB">
            <w:pPr>
              <w:pStyle w:val="CellTextValue"/>
            </w:pPr>
            <w:r>
              <w:t>5.00 to 5.75</w:t>
            </w:r>
          </w:p>
        </w:tc>
        <w:tc>
          <w:tcPr>
            <w:tcW w:w="0" w:type="auto"/>
          </w:tcPr>
          <w:p w14:paraId="27DD7144" w14:textId="77777777" w:rsidR="00D84031" w:rsidRDefault="007965BB">
            <w:pPr>
              <w:pStyle w:val="CellTextValue"/>
            </w:pPr>
            <w:r>
              <w:t>2</w:t>
            </w:r>
          </w:p>
        </w:tc>
      </w:tr>
      <w:tr w:rsidR="00D84031" w14:paraId="518BF180" w14:textId="77777777">
        <w:tc>
          <w:tcPr>
            <w:tcW w:w="0" w:type="auto"/>
          </w:tcPr>
          <w:p w14:paraId="73B1DEE9" w14:textId="77777777" w:rsidR="00D84031" w:rsidRDefault="007965BB">
            <w:pPr>
              <w:pStyle w:val="CellTextValue"/>
            </w:pPr>
            <w:r>
              <w:t>HORIZON-CL2-2026-01-HERITAGE-07: Preventing and fighting illicit trafficking of cultural goods</w:t>
            </w:r>
          </w:p>
        </w:tc>
        <w:tc>
          <w:tcPr>
            <w:tcW w:w="0" w:type="auto"/>
          </w:tcPr>
          <w:p w14:paraId="09C18529" w14:textId="77777777" w:rsidR="00D84031" w:rsidRDefault="007965BB">
            <w:pPr>
              <w:pStyle w:val="CellTextValue"/>
            </w:pPr>
            <w:r>
              <w:t>CSA</w:t>
            </w:r>
          </w:p>
        </w:tc>
        <w:tc>
          <w:tcPr>
            <w:tcW w:w="0" w:type="auto"/>
            <w:vMerge w:val="restart"/>
          </w:tcPr>
          <w:p w14:paraId="601E3AC1" w14:textId="77777777" w:rsidR="00D84031" w:rsidRDefault="007965BB">
            <w:pPr>
              <w:pStyle w:val="CellTextValue"/>
            </w:pPr>
            <w:r>
              <w:t>5.00</w:t>
            </w:r>
          </w:p>
        </w:tc>
        <w:tc>
          <w:tcPr>
            <w:tcW w:w="0" w:type="auto"/>
          </w:tcPr>
          <w:p w14:paraId="02C0D52F" w14:textId="77777777" w:rsidR="00D84031" w:rsidRDefault="007965BB">
            <w:pPr>
              <w:pStyle w:val="CellTextValue"/>
            </w:pPr>
            <w:r>
              <w:t>4.50 to 5.00</w:t>
            </w:r>
          </w:p>
        </w:tc>
        <w:tc>
          <w:tcPr>
            <w:tcW w:w="0" w:type="auto"/>
          </w:tcPr>
          <w:p w14:paraId="3ABF2219" w14:textId="77777777" w:rsidR="00D84031" w:rsidRDefault="007965BB">
            <w:pPr>
              <w:pStyle w:val="CellTextValue"/>
            </w:pPr>
            <w:r>
              <w:t>1</w:t>
            </w:r>
          </w:p>
        </w:tc>
      </w:tr>
      <w:tr w:rsidR="00C62CF4" w14:paraId="34A6C3FC" w14:textId="77777777" w:rsidTr="00C62CF4">
        <w:tc>
          <w:tcPr>
            <w:tcW w:w="0" w:type="auto"/>
            <w:gridSpan w:val="5"/>
          </w:tcPr>
          <w:p w14:paraId="00BC92DF" w14:textId="77777777" w:rsidR="00D84031" w:rsidRDefault="007965BB">
            <w:pPr>
              <w:pStyle w:val="CellTextValue"/>
            </w:pPr>
            <w:r>
              <w:t>Destination Innovative Research on Social and Economic Transformations</w:t>
            </w:r>
          </w:p>
        </w:tc>
      </w:tr>
      <w:tr w:rsidR="00D84031" w14:paraId="549783C5" w14:textId="77777777">
        <w:tc>
          <w:tcPr>
            <w:tcW w:w="0" w:type="auto"/>
          </w:tcPr>
          <w:p w14:paraId="7CB95789" w14:textId="77777777" w:rsidR="00D84031" w:rsidRDefault="007965BB">
            <w:pPr>
              <w:pStyle w:val="CellTextValue"/>
            </w:pPr>
            <w:r>
              <w:t>HORIZON-CL2-2026-01-TRANSFO-02: Open topic: Strengthen Europe's social model and sustainable competitiveness through productivity</w:t>
            </w:r>
          </w:p>
        </w:tc>
        <w:tc>
          <w:tcPr>
            <w:tcW w:w="0" w:type="auto"/>
          </w:tcPr>
          <w:p w14:paraId="6D601D6D" w14:textId="77777777" w:rsidR="00D84031" w:rsidRDefault="007965BB">
            <w:pPr>
              <w:pStyle w:val="CellTextValue"/>
            </w:pPr>
            <w:r>
              <w:t>RIA</w:t>
            </w:r>
          </w:p>
        </w:tc>
        <w:tc>
          <w:tcPr>
            <w:tcW w:w="0" w:type="auto"/>
            <w:vMerge w:val="restart"/>
          </w:tcPr>
          <w:p w14:paraId="1B55C5C7" w14:textId="77777777" w:rsidR="00D84031" w:rsidRDefault="007965BB">
            <w:pPr>
              <w:pStyle w:val="CellTextValue"/>
            </w:pPr>
            <w:r>
              <w:t>12.00</w:t>
            </w:r>
          </w:p>
        </w:tc>
        <w:tc>
          <w:tcPr>
            <w:tcW w:w="0" w:type="auto"/>
          </w:tcPr>
          <w:p w14:paraId="44911B6A" w14:textId="77777777" w:rsidR="00D84031" w:rsidRDefault="007965BB">
            <w:pPr>
              <w:pStyle w:val="CellTextValue"/>
            </w:pPr>
            <w:r>
              <w:t>3.00 to 4.00</w:t>
            </w:r>
          </w:p>
        </w:tc>
        <w:tc>
          <w:tcPr>
            <w:tcW w:w="0" w:type="auto"/>
          </w:tcPr>
          <w:p w14:paraId="0DD58D39" w14:textId="77777777" w:rsidR="00D84031" w:rsidRDefault="007965BB">
            <w:pPr>
              <w:pStyle w:val="CellTextValue"/>
            </w:pPr>
            <w:r>
              <w:t>3</w:t>
            </w:r>
          </w:p>
        </w:tc>
      </w:tr>
      <w:tr w:rsidR="00D84031" w14:paraId="247FD5A8" w14:textId="77777777">
        <w:tc>
          <w:tcPr>
            <w:tcW w:w="0" w:type="auto"/>
          </w:tcPr>
          <w:p w14:paraId="53A70205" w14:textId="77777777" w:rsidR="00D84031" w:rsidRDefault="007965BB">
            <w:pPr>
              <w:pStyle w:val="CellTextValue"/>
            </w:pPr>
            <w:r>
              <w:t xml:space="preserve">HORIZON-CL2-2026-01-TRANSFO-03: Tackling child poverty and ensuring disadvantaged children's access to Early Childhood Education and Care </w:t>
            </w:r>
          </w:p>
        </w:tc>
        <w:tc>
          <w:tcPr>
            <w:tcW w:w="0" w:type="auto"/>
          </w:tcPr>
          <w:p w14:paraId="49055168" w14:textId="77777777" w:rsidR="00D84031" w:rsidRDefault="007965BB">
            <w:pPr>
              <w:pStyle w:val="CellTextValue"/>
            </w:pPr>
            <w:r>
              <w:t>RIA</w:t>
            </w:r>
          </w:p>
        </w:tc>
        <w:tc>
          <w:tcPr>
            <w:tcW w:w="0" w:type="auto"/>
            <w:vMerge w:val="restart"/>
          </w:tcPr>
          <w:p w14:paraId="6C10E995" w14:textId="77777777" w:rsidR="00D84031" w:rsidRDefault="007965BB">
            <w:pPr>
              <w:pStyle w:val="CellTextValue"/>
            </w:pPr>
            <w:r>
              <w:t>12.00</w:t>
            </w:r>
          </w:p>
        </w:tc>
        <w:tc>
          <w:tcPr>
            <w:tcW w:w="0" w:type="auto"/>
          </w:tcPr>
          <w:p w14:paraId="5FDDDB0F" w14:textId="77777777" w:rsidR="00D84031" w:rsidRDefault="007965BB">
            <w:pPr>
              <w:pStyle w:val="CellTextValue"/>
            </w:pPr>
            <w:r>
              <w:t>3.00 to 4.00</w:t>
            </w:r>
          </w:p>
        </w:tc>
        <w:tc>
          <w:tcPr>
            <w:tcW w:w="0" w:type="auto"/>
          </w:tcPr>
          <w:p w14:paraId="5D29B7DF" w14:textId="77777777" w:rsidR="00D84031" w:rsidRDefault="007965BB">
            <w:pPr>
              <w:pStyle w:val="CellTextValue"/>
            </w:pPr>
            <w:r>
              <w:t>3</w:t>
            </w:r>
          </w:p>
        </w:tc>
      </w:tr>
      <w:tr w:rsidR="00D84031" w14:paraId="550C1139" w14:textId="77777777">
        <w:tc>
          <w:tcPr>
            <w:tcW w:w="0" w:type="auto"/>
          </w:tcPr>
          <w:p w14:paraId="57345A3B" w14:textId="77777777" w:rsidR="00D84031" w:rsidRDefault="007965BB">
            <w:pPr>
              <w:pStyle w:val="CellTextValue"/>
            </w:pPr>
            <w:r>
              <w:t>HORIZON-CL2-2026-01-TRANSFO-04: The impact of the use of digital tools outside school and for communication on educational outcomes and mental health</w:t>
            </w:r>
          </w:p>
        </w:tc>
        <w:tc>
          <w:tcPr>
            <w:tcW w:w="0" w:type="auto"/>
          </w:tcPr>
          <w:p w14:paraId="0E767F39" w14:textId="77777777" w:rsidR="00D84031" w:rsidRDefault="007965BB">
            <w:pPr>
              <w:pStyle w:val="CellTextValue"/>
            </w:pPr>
            <w:r>
              <w:t>RIA</w:t>
            </w:r>
          </w:p>
        </w:tc>
        <w:tc>
          <w:tcPr>
            <w:tcW w:w="0" w:type="auto"/>
            <w:vMerge w:val="restart"/>
          </w:tcPr>
          <w:p w14:paraId="72FB75DC" w14:textId="77777777" w:rsidR="00D84031" w:rsidRDefault="007965BB">
            <w:pPr>
              <w:pStyle w:val="CellTextValue"/>
            </w:pPr>
            <w:r>
              <w:t>12.00</w:t>
            </w:r>
          </w:p>
        </w:tc>
        <w:tc>
          <w:tcPr>
            <w:tcW w:w="0" w:type="auto"/>
          </w:tcPr>
          <w:p w14:paraId="33E5760E" w14:textId="77777777" w:rsidR="00D84031" w:rsidRDefault="007965BB">
            <w:pPr>
              <w:pStyle w:val="CellTextValue"/>
            </w:pPr>
            <w:r>
              <w:t>3.00 to 4.00</w:t>
            </w:r>
          </w:p>
        </w:tc>
        <w:tc>
          <w:tcPr>
            <w:tcW w:w="0" w:type="auto"/>
          </w:tcPr>
          <w:p w14:paraId="04EEB7C1" w14:textId="77777777" w:rsidR="00D84031" w:rsidRDefault="007965BB">
            <w:pPr>
              <w:pStyle w:val="CellTextValue"/>
            </w:pPr>
            <w:r>
              <w:t>3</w:t>
            </w:r>
          </w:p>
        </w:tc>
      </w:tr>
      <w:tr w:rsidR="00D84031" w14:paraId="4933E7BA" w14:textId="77777777">
        <w:tc>
          <w:tcPr>
            <w:tcW w:w="0" w:type="auto"/>
          </w:tcPr>
          <w:p w14:paraId="4AFD94B1" w14:textId="77777777" w:rsidR="00D84031" w:rsidRDefault="007965BB">
            <w:pPr>
              <w:pStyle w:val="CellTextValue"/>
            </w:pPr>
            <w:r>
              <w:t>HORIZON-CL2-2026-01-TRANSFO-05: Long-term contribution of basic skills to productivity, innovation, competitiveness and economic growth</w:t>
            </w:r>
          </w:p>
        </w:tc>
        <w:tc>
          <w:tcPr>
            <w:tcW w:w="0" w:type="auto"/>
          </w:tcPr>
          <w:p w14:paraId="7D3E3419" w14:textId="77777777" w:rsidR="00D84031" w:rsidRDefault="007965BB">
            <w:pPr>
              <w:pStyle w:val="CellTextValue"/>
            </w:pPr>
            <w:r>
              <w:t>RIA</w:t>
            </w:r>
          </w:p>
        </w:tc>
        <w:tc>
          <w:tcPr>
            <w:tcW w:w="0" w:type="auto"/>
            <w:vMerge w:val="restart"/>
          </w:tcPr>
          <w:p w14:paraId="56618F34" w14:textId="77777777" w:rsidR="00D84031" w:rsidRDefault="007965BB">
            <w:pPr>
              <w:pStyle w:val="CellTextValue"/>
            </w:pPr>
            <w:r>
              <w:t>12.00</w:t>
            </w:r>
          </w:p>
        </w:tc>
        <w:tc>
          <w:tcPr>
            <w:tcW w:w="0" w:type="auto"/>
          </w:tcPr>
          <w:p w14:paraId="77BF9BEC" w14:textId="77777777" w:rsidR="00D84031" w:rsidRDefault="007965BB">
            <w:pPr>
              <w:pStyle w:val="CellTextValue"/>
            </w:pPr>
            <w:r>
              <w:t>3.00 to 4.00</w:t>
            </w:r>
          </w:p>
        </w:tc>
        <w:tc>
          <w:tcPr>
            <w:tcW w:w="0" w:type="auto"/>
          </w:tcPr>
          <w:p w14:paraId="0CCDAB5E" w14:textId="77777777" w:rsidR="00D84031" w:rsidRDefault="007965BB">
            <w:pPr>
              <w:pStyle w:val="CellTextValue"/>
            </w:pPr>
            <w:r>
              <w:t>3</w:t>
            </w:r>
          </w:p>
        </w:tc>
      </w:tr>
      <w:tr w:rsidR="00D84031" w14:paraId="150DBE05" w14:textId="77777777">
        <w:tc>
          <w:tcPr>
            <w:tcW w:w="0" w:type="auto"/>
          </w:tcPr>
          <w:p w14:paraId="674D9559" w14:textId="77777777" w:rsidR="00D84031" w:rsidRDefault="007965BB">
            <w:pPr>
              <w:pStyle w:val="CellTextValue"/>
            </w:pPr>
            <w:r>
              <w:t>HORIZON-CL2-2026-01-TRANSFO-06: Making Europe a global magnet for talent - Attracting and retaining students, researchers and high-skilled workers from outside the EU</w:t>
            </w:r>
          </w:p>
        </w:tc>
        <w:tc>
          <w:tcPr>
            <w:tcW w:w="0" w:type="auto"/>
          </w:tcPr>
          <w:p w14:paraId="26675BD0" w14:textId="77777777" w:rsidR="00D84031" w:rsidRDefault="007965BB">
            <w:pPr>
              <w:pStyle w:val="CellTextValue"/>
            </w:pPr>
            <w:r>
              <w:t>RIA</w:t>
            </w:r>
          </w:p>
        </w:tc>
        <w:tc>
          <w:tcPr>
            <w:tcW w:w="0" w:type="auto"/>
            <w:vMerge w:val="restart"/>
          </w:tcPr>
          <w:p w14:paraId="663A044A" w14:textId="77777777" w:rsidR="00D84031" w:rsidRDefault="007965BB">
            <w:pPr>
              <w:pStyle w:val="CellTextValue"/>
            </w:pPr>
            <w:r>
              <w:t>10.00</w:t>
            </w:r>
          </w:p>
        </w:tc>
        <w:tc>
          <w:tcPr>
            <w:tcW w:w="0" w:type="auto"/>
          </w:tcPr>
          <w:p w14:paraId="5AC380E5" w14:textId="77777777" w:rsidR="00D84031" w:rsidRDefault="007965BB">
            <w:pPr>
              <w:pStyle w:val="CellTextValue"/>
            </w:pPr>
            <w:r>
              <w:t>3.00 to 3.30</w:t>
            </w:r>
          </w:p>
        </w:tc>
        <w:tc>
          <w:tcPr>
            <w:tcW w:w="0" w:type="auto"/>
          </w:tcPr>
          <w:p w14:paraId="1934AE41" w14:textId="77777777" w:rsidR="00D84031" w:rsidRDefault="007965BB">
            <w:pPr>
              <w:pStyle w:val="CellTextValue"/>
            </w:pPr>
            <w:r>
              <w:t>3</w:t>
            </w:r>
          </w:p>
        </w:tc>
      </w:tr>
      <w:tr w:rsidR="00D84031" w14:paraId="13ABB8C2" w14:textId="77777777">
        <w:tc>
          <w:tcPr>
            <w:tcW w:w="0" w:type="auto"/>
          </w:tcPr>
          <w:p w14:paraId="4B3F8774" w14:textId="77777777" w:rsidR="00D84031" w:rsidRDefault="007965BB">
            <w:pPr>
              <w:pStyle w:val="CellTextValue"/>
            </w:pPr>
            <w:r>
              <w:t>HORIZON-CL2-2026-01-TRANSFO-07: Fostering competences for the green transition</w:t>
            </w:r>
          </w:p>
        </w:tc>
        <w:tc>
          <w:tcPr>
            <w:tcW w:w="0" w:type="auto"/>
          </w:tcPr>
          <w:p w14:paraId="5F3C4B79" w14:textId="77777777" w:rsidR="00D84031" w:rsidRDefault="007965BB">
            <w:pPr>
              <w:pStyle w:val="CellTextValue"/>
            </w:pPr>
            <w:r>
              <w:t>RIA</w:t>
            </w:r>
          </w:p>
        </w:tc>
        <w:tc>
          <w:tcPr>
            <w:tcW w:w="0" w:type="auto"/>
            <w:vMerge w:val="restart"/>
          </w:tcPr>
          <w:p w14:paraId="27285519" w14:textId="77777777" w:rsidR="00D84031" w:rsidRDefault="007965BB">
            <w:pPr>
              <w:pStyle w:val="CellTextValue"/>
            </w:pPr>
            <w:r>
              <w:t>12.00</w:t>
            </w:r>
          </w:p>
        </w:tc>
        <w:tc>
          <w:tcPr>
            <w:tcW w:w="0" w:type="auto"/>
          </w:tcPr>
          <w:p w14:paraId="51556863" w14:textId="77777777" w:rsidR="00D84031" w:rsidRDefault="007965BB">
            <w:pPr>
              <w:pStyle w:val="CellTextValue"/>
            </w:pPr>
            <w:r>
              <w:t>3.00 to 4.00</w:t>
            </w:r>
          </w:p>
        </w:tc>
        <w:tc>
          <w:tcPr>
            <w:tcW w:w="0" w:type="auto"/>
          </w:tcPr>
          <w:p w14:paraId="549282AB" w14:textId="77777777" w:rsidR="00D84031" w:rsidRDefault="007965BB">
            <w:pPr>
              <w:pStyle w:val="CellTextValue"/>
            </w:pPr>
            <w:r>
              <w:t>3</w:t>
            </w:r>
          </w:p>
        </w:tc>
      </w:tr>
      <w:tr w:rsidR="00D84031" w14:paraId="65CD854D" w14:textId="77777777">
        <w:tc>
          <w:tcPr>
            <w:tcW w:w="0" w:type="auto"/>
          </w:tcPr>
          <w:p w14:paraId="3DDBADC3" w14:textId="77777777" w:rsidR="00D84031" w:rsidRDefault="007965BB">
            <w:pPr>
              <w:pStyle w:val="CellTextValue"/>
            </w:pPr>
            <w:r>
              <w:t>HORIZON-CL2-2026-01-TRANSFO-08: Strengthened implementation of the EU Pact on Migration and Asylum and a focus on inclusion, integration, and health</w:t>
            </w:r>
          </w:p>
        </w:tc>
        <w:tc>
          <w:tcPr>
            <w:tcW w:w="0" w:type="auto"/>
          </w:tcPr>
          <w:p w14:paraId="2FA5F007" w14:textId="77777777" w:rsidR="00D84031" w:rsidRDefault="007965BB">
            <w:pPr>
              <w:pStyle w:val="CellTextValue"/>
            </w:pPr>
            <w:r>
              <w:t>RIA</w:t>
            </w:r>
          </w:p>
        </w:tc>
        <w:tc>
          <w:tcPr>
            <w:tcW w:w="0" w:type="auto"/>
            <w:vMerge w:val="restart"/>
          </w:tcPr>
          <w:p w14:paraId="0BF5FC63" w14:textId="77777777" w:rsidR="00D84031" w:rsidRDefault="007965BB">
            <w:pPr>
              <w:pStyle w:val="CellTextValue"/>
            </w:pPr>
            <w:r>
              <w:t>12.00</w:t>
            </w:r>
          </w:p>
        </w:tc>
        <w:tc>
          <w:tcPr>
            <w:tcW w:w="0" w:type="auto"/>
          </w:tcPr>
          <w:p w14:paraId="76E00C25" w14:textId="77777777" w:rsidR="00D84031" w:rsidRDefault="007965BB">
            <w:pPr>
              <w:pStyle w:val="CellTextValue"/>
            </w:pPr>
            <w:r>
              <w:t>3.00 to 4.00</w:t>
            </w:r>
          </w:p>
        </w:tc>
        <w:tc>
          <w:tcPr>
            <w:tcW w:w="0" w:type="auto"/>
          </w:tcPr>
          <w:p w14:paraId="0C3EF1C3" w14:textId="77777777" w:rsidR="00D84031" w:rsidRDefault="007965BB">
            <w:pPr>
              <w:pStyle w:val="CellTextValue"/>
            </w:pPr>
            <w:r>
              <w:t>3</w:t>
            </w:r>
          </w:p>
        </w:tc>
      </w:tr>
      <w:tr w:rsidR="00D84031" w14:paraId="0F82CA06" w14:textId="77777777">
        <w:tc>
          <w:tcPr>
            <w:tcW w:w="0" w:type="auto"/>
          </w:tcPr>
          <w:p w14:paraId="187FD569" w14:textId="77777777" w:rsidR="00D84031" w:rsidRDefault="007965BB">
            <w:pPr>
              <w:pStyle w:val="CellTextValue"/>
            </w:pPr>
            <w:r>
              <w:t>HORIZON-CL2-2026-01-TRANSFO-09: Rethinking long-term care policy in the face of EU demographic shifts</w:t>
            </w:r>
          </w:p>
        </w:tc>
        <w:tc>
          <w:tcPr>
            <w:tcW w:w="0" w:type="auto"/>
          </w:tcPr>
          <w:p w14:paraId="7B2AC8F9" w14:textId="77777777" w:rsidR="00D84031" w:rsidRDefault="007965BB">
            <w:pPr>
              <w:pStyle w:val="CellTextValue"/>
            </w:pPr>
            <w:r>
              <w:t>RIA</w:t>
            </w:r>
          </w:p>
        </w:tc>
        <w:tc>
          <w:tcPr>
            <w:tcW w:w="0" w:type="auto"/>
            <w:vMerge w:val="restart"/>
          </w:tcPr>
          <w:p w14:paraId="336D02A0" w14:textId="77777777" w:rsidR="00D84031" w:rsidRDefault="007965BB">
            <w:pPr>
              <w:pStyle w:val="CellTextValue"/>
            </w:pPr>
            <w:r>
              <w:t>15.00</w:t>
            </w:r>
          </w:p>
        </w:tc>
        <w:tc>
          <w:tcPr>
            <w:tcW w:w="0" w:type="auto"/>
          </w:tcPr>
          <w:p w14:paraId="780A8BDD" w14:textId="77777777" w:rsidR="00D84031" w:rsidRDefault="007965BB">
            <w:pPr>
              <w:pStyle w:val="CellTextValue"/>
            </w:pPr>
            <w:r>
              <w:t>Around 3.75</w:t>
            </w:r>
          </w:p>
        </w:tc>
        <w:tc>
          <w:tcPr>
            <w:tcW w:w="0" w:type="auto"/>
          </w:tcPr>
          <w:p w14:paraId="47A49206" w14:textId="77777777" w:rsidR="00D84031" w:rsidRDefault="007965BB">
            <w:pPr>
              <w:pStyle w:val="CellTextValue"/>
            </w:pPr>
            <w:r>
              <w:t>4</w:t>
            </w:r>
          </w:p>
        </w:tc>
      </w:tr>
      <w:tr w:rsidR="00D84031" w14:paraId="6455D2BB" w14:textId="77777777">
        <w:tc>
          <w:tcPr>
            <w:tcW w:w="0" w:type="auto"/>
          </w:tcPr>
          <w:p w14:paraId="278CF37D" w14:textId="77777777" w:rsidR="00D84031" w:rsidRDefault="007965BB">
            <w:pPr>
              <w:pStyle w:val="CellTextValue"/>
            </w:pPr>
            <w:r>
              <w:lastRenderedPageBreak/>
              <w:t>HORIZON-CL2-2026-01-TRANSFO-10: Fostering cooperation and integration between SSH and STEM research and innovation in the EU</w:t>
            </w:r>
          </w:p>
        </w:tc>
        <w:tc>
          <w:tcPr>
            <w:tcW w:w="0" w:type="auto"/>
          </w:tcPr>
          <w:p w14:paraId="6565DBCC" w14:textId="77777777" w:rsidR="00D84031" w:rsidRDefault="007965BB">
            <w:pPr>
              <w:pStyle w:val="CellTextValue"/>
            </w:pPr>
            <w:r>
              <w:t>CSA</w:t>
            </w:r>
          </w:p>
        </w:tc>
        <w:tc>
          <w:tcPr>
            <w:tcW w:w="0" w:type="auto"/>
            <w:vMerge w:val="restart"/>
          </w:tcPr>
          <w:p w14:paraId="0FAE15B3" w14:textId="77777777" w:rsidR="00D84031" w:rsidRDefault="007965BB">
            <w:pPr>
              <w:pStyle w:val="CellTextValue"/>
            </w:pPr>
            <w:r>
              <w:t>3.50</w:t>
            </w:r>
          </w:p>
        </w:tc>
        <w:tc>
          <w:tcPr>
            <w:tcW w:w="0" w:type="auto"/>
          </w:tcPr>
          <w:p w14:paraId="24833FC8" w14:textId="77777777" w:rsidR="00D84031" w:rsidRDefault="007965BB">
            <w:pPr>
              <w:pStyle w:val="CellTextValue"/>
            </w:pPr>
            <w:r>
              <w:t>Around 3.50</w:t>
            </w:r>
          </w:p>
        </w:tc>
        <w:tc>
          <w:tcPr>
            <w:tcW w:w="0" w:type="auto"/>
          </w:tcPr>
          <w:p w14:paraId="5A32A7A2" w14:textId="77777777" w:rsidR="00D84031" w:rsidRDefault="007965BB">
            <w:pPr>
              <w:pStyle w:val="CellTextValue"/>
            </w:pPr>
            <w:r>
              <w:t>1</w:t>
            </w:r>
          </w:p>
        </w:tc>
      </w:tr>
      <w:tr w:rsidR="00D84031" w14:paraId="3E474B0D" w14:textId="77777777">
        <w:tc>
          <w:tcPr>
            <w:tcW w:w="0" w:type="auto"/>
          </w:tcPr>
          <w:p w14:paraId="4B824AD1" w14:textId="77777777" w:rsidR="00D84031" w:rsidRDefault="007965BB">
            <w:pPr>
              <w:pStyle w:val="CellTextValue"/>
            </w:pPr>
            <w:r>
              <w:t>Overall indicative budget</w:t>
            </w:r>
          </w:p>
        </w:tc>
        <w:tc>
          <w:tcPr>
            <w:tcW w:w="0" w:type="auto"/>
          </w:tcPr>
          <w:p w14:paraId="607D0991" w14:textId="77777777" w:rsidR="00D84031" w:rsidRDefault="00D84031"/>
        </w:tc>
        <w:tc>
          <w:tcPr>
            <w:tcW w:w="0" w:type="auto"/>
          </w:tcPr>
          <w:p w14:paraId="37E4F11E" w14:textId="77777777" w:rsidR="00D84031" w:rsidRDefault="007965BB">
            <w:pPr>
              <w:pStyle w:val="CellTextValue"/>
            </w:pPr>
            <w:r>
              <w:t>298.50</w:t>
            </w:r>
          </w:p>
        </w:tc>
        <w:tc>
          <w:tcPr>
            <w:tcW w:w="0" w:type="auto"/>
          </w:tcPr>
          <w:p w14:paraId="6502E5E3" w14:textId="77777777" w:rsidR="00D84031" w:rsidRDefault="00D84031"/>
        </w:tc>
        <w:tc>
          <w:tcPr>
            <w:tcW w:w="0" w:type="auto"/>
          </w:tcPr>
          <w:p w14:paraId="3B3A1513" w14:textId="77777777" w:rsidR="00D84031" w:rsidRDefault="00D84031"/>
        </w:tc>
      </w:tr>
    </w:tbl>
    <w:p w14:paraId="501700B2" w14:textId="77777777" w:rsidR="00D84031" w:rsidRDefault="00D84031">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C62CF4" w14:paraId="511F8803" w14:textId="77777777" w:rsidTr="00C62CF4">
        <w:tc>
          <w:tcPr>
            <w:tcW w:w="0" w:type="auto"/>
            <w:gridSpan w:val="2"/>
          </w:tcPr>
          <w:p w14:paraId="1D8297BD" w14:textId="77777777" w:rsidR="00D84031" w:rsidRDefault="007965BB">
            <w:pPr>
              <w:pStyle w:val="CellTextValue"/>
            </w:pPr>
            <w:r>
              <w:rPr>
                <w:b/>
              </w:rPr>
              <w:t xml:space="preserve">General </w:t>
            </w:r>
            <w:r>
              <w:rPr>
                <w:b/>
              </w:rPr>
              <w:t>conditions relating to this call</w:t>
            </w:r>
          </w:p>
        </w:tc>
      </w:tr>
      <w:tr w:rsidR="00D84031" w14:paraId="428752E9" w14:textId="77777777">
        <w:tc>
          <w:tcPr>
            <w:tcW w:w="0" w:type="auto"/>
          </w:tcPr>
          <w:p w14:paraId="41B1B2C2" w14:textId="77777777" w:rsidR="00D84031" w:rsidRDefault="007965BB">
            <w:pPr>
              <w:pStyle w:val="CellTextValue"/>
              <w:jc w:val="left"/>
            </w:pPr>
            <w:r>
              <w:rPr>
                <w:i/>
              </w:rPr>
              <w:t>Admissibility conditions</w:t>
            </w:r>
          </w:p>
        </w:tc>
        <w:tc>
          <w:tcPr>
            <w:tcW w:w="0" w:type="auto"/>
          </w:tcPr>
          <w:p w14:paraId="592383E2" w14:textId="77777777" w:rsidR="00D84031" w:rsidRDefault="007965BB">
            <w:pPr>
              <w:pStyle w:val="CellTextValue"/>
            </w:pPr>
            <w:r>
              <w:rPr>
                <w:color w:val="000000"/>
              </w:rPr>
              <w:t>The conditions are described in General Annex A.</w:t>
            </w:r>
          </w:p>
        </w:tc>
      </w:tr>
      <w:tr w:rsidR="00D84031" w14:paraId="63EDA90D" w14:textId="77777777">
        <w:tc>
          <w:tcPr>
            <w:tcW w:w="0" w:type="auto"/>
          </w:tcPr>
          <w:p w14:paraId="5C849E5E" w14:textId="77777777" w:rsidR="00D84031" w:rsidRDefault="007965BB">
            <w:pPr>
              <w:pStyle w:val="CellTextValue"/>
              <w:jc w:val="left"/>
            </w:pPr>
            <w:r>
              <w:rPr>
                <w:i/>
              </w:rPr>
              <w:t>Eligibility conditions</w:t>
            </w:r>
          </w:p>
        </w:tc>
        <w:tc>
          <w:tcPr>
            <w:tcW w:w="0" w:type="auto"/>
          </w:tcPr>
          <w:p w14:paraId="66BC614D" w14:textId="77777777" w:rsidR="00D84031" w:rsidRDefault="007965BB">
            <w:pPr>
              <w:pStyle w:val="CellTextValue"/>
            </w:pPr>
            <w:r>
              <w:rPr>
                <w:color w:val="000000"/>
              </w:rPr>
              <w:t>The conditions are described in General Annex B.</w:t>
            </w:r>
          </w:p>
        </w:tc>
      </w:tr>
      <w:tr w:rsidR="00D84031" w14:paraId="25AE55F8" w14:textId="77777777">
        <w:tc>
          <w:tcPr>
            <w:tcW w:w="0" w:type="auto"/>
          </w:tcPr>
          <w:p w14:paraId="2F7B4F03" w14:textId="77777777" w:rsidR="00D84031" w:rsidRDefault="007965BB">
            <w:pPr>
              <w:pStyle w:val="CellTextValue"/>
              <w:jc w:val="left"/>
            </w:pPr>
            <w:r>
              <w:rPr>
                <w:i/>
              </w:rPr>
              <w:t>Financial and operational capacity and exclusion</w:t>
            </w:r>
          </w:p>
        </w:tc>
        <w:tc>
          <w:tcPr>
            <w:tcW w:w="0" w:type="auto"/>
          </w:tcPr>
          <w:p w14:paraId="2892E029" w14:textId="77777777" w:rsidR="00D84031" w:rsidRDefault="007965BB">
            <w:pPr>
              <w:pStyle w:val="CellTextValue"/>
            </w:pPr>
            <w:r>
              <w:rPr>
                <w:color w:val="000000"/>
              </w:rPr>
              <w:t xml:space="preserve">The criteria are </w:t>
            </w:r>
            <w:r>
              <w:rPr>
                <w:color w:val="000000"/>
              </w:rPr>
              <w:t>described in General Annex C.</w:t>
            </w:r>
          </w:p>
        </w:tc>
      </w:tr>
      <w:tr w:rsidR="00D84031" w14:paraId="2FAB4D8D" w14:textId="77777777">
        <w:tc>
          <w:tcPr>
            <w:tcW w:w="0" w:type="auto"/>
          </w:tcPr>
          <w:p w14:paraId="2C24D31A" w14:textId="77777777" w:rsidR="00D84031" w:rsidRDefault="007965BB">
            <w:pPr>
              <w:pStyle w:val="CellTextValue"/>
              <w:jc w:val="left"/>
            </w:pPr>
            <w:r>
              <w:rPr>
                <w:i/>
              </w:rPr>
              <w:t>Award criteria</w:t>
            </w:r>
          </w:p>
        </w:tc>
        <w:tc>
          <w:tcPr>
            <w:tcW w:w="0" w:type="auto"/>
          </w:tcPr>
          <w:p w14:paraId="1BC35547" w14:textId="77777777" w:rsidR="00D84031" w:rsidRDefault="007965BB">
            <w:pPr>
              <w:pStyle w:val="CellTextValue"/>
            </w:pPr>
            <w:r>
              <w:rPr>
                <w:color w:val="000000"/>
              </w:rPr>
              <w:t>The criteria are described in General Annex D.</w:t>
            </w:r>
          </w:p>
        </w:tc>
      </w:tr>
      <w:tr w:rsidR="00D84031" w14:paraId="4E033688" w14:textId="77777777">
        <w:tc>
          <w:tcPr>
            <w:tcW w:w="0" w:type="auto"/>
          </w:tcPr>
          <w:p w14:paraId="59CADC02" w14:textId="77777777" w:rsidR="00D84031" w:rsidRDefault="007965BB">
            <w:pPr>
              <w:pStyle w:val="CellTextValue"/>
              <w:jc w:val="left"/>
            </w:pPr>
            <w:r>
              <w:rPr>
                <w:i/>
              </w:rPr>
              <w:t>Documents</w:t>
            </w:r>
          </w:p>
        </w:tc>
        <w:tc>
          <w:tcPr>
            <w:tcW w:w="0" w:type="auto"/>
          </w:tcPr>
          <w:p w14:paraId="566724FF" w14:textId="77777777" w:rsidR="00D84031" w:rsidRDefault="007965BB">
            <w:pPr>
              <w:pStyle w:val="CellTextValue"/>
            </w:pPr>
            <w:r>
              <w:rPr>
                <w:color w:val="000000"/>
              </w:rPr>
              <w:t>The documents are described in General Annex E.</w:t>
            </w:r>
          </w:p>
        </w:tc>
      </w:tr>
      <w:tr w:rsidR="00D84031" w14:paraId="3421C300" w14:textId="77777777">
        <w:tc>
          <w:tcPr>
            <w:tcW w:w="0" w:type="auto"/>
          </w:tcPr>
          <w:p w14:paraId="6C4FEED2" w14:textId="77777777" w:rsidR="00D84031" w:rsidRDefault="007965BB">
            <w:pPr>
              <w:pStyle w:val="CellTextValue"/>
              <w:jc w:val="left"/>
            </w:pPr>
            <w:r>
              <w:rPr>
                <w:i/>
              </w:rPr>
              <w:t>Procedure</w:t>
            </w:r>
          </w:p>
        </w:tc>
        <w:tc>
          <w:tcPr>
            <w:tcW w:w="0" w:type="auto"/>
          </w:tcPr>
          <w:p w14:paraId="5189F250" w14:textId="77777777" w:rsidR="00D84031" w:rsidRDefault="007965BB">
            <w:pPr>
              <w:pStyle w:val="CellTextValue"/>
            </w:pPr>
            <w:r>
              <w:rPr>
                <w:color w:val="000000"/>
              </w:rPr>
              <w:t>The procedure is described in General Annex F.</w:t>
            </w:r>
          </w:p>
        </w:tc>
      </w:tr>
      <w:tr w:rsidR="00D84031" w14:paraId="68483DCA" w14:textId="77777777">
        <w:tc>
          <w:tcPr>
            <w:tcW w:w="0" w:type="auto"/>
          </w:tcPr>
          <w:p w14:paraId="0E42ABF9" w14:textId="77777777" w:rsidR="00D84031" w:rsidRDefault="007965BB">
            <w:pPr>
              <w:pStyle w:val="CellTextValue"/>
              <w:jc w:val="left"/>
            </w:pPr>
            <w:r>
              <w:rPr>
                <w:i/>
              </w:rPr>
              <w:t xml:space="preserve">Legal and financial set-up of the Grant </w:t>
            </w:r>
            <w:r>
              <w:rPr>
                <w:i/>
              </w:rPr>
              <w:t>Agreements</w:t>
            </w:r>
          </w:p>
        </w:tc>
        <w:tc>
          <w:tcPr>
            <w:tcW w:w="0" w:type="auto"/>
          </w:tcPr>
          <w:p w14:paraId="2ECC222F" w14:textId="77777777" w:rsidR="00D84031" w:rsidRDefault="007965BB">
            <w:pPr>
              <w:pStyle w:val="CellTextValue"/>
            </w:pPr>
            <w:r>
              <w:rPr>
                <w:color w:val="000000"/>
              </w:rPr>
              <w:t>The rules are described in General Annex G.</w:t>
            </w:r>
          </w:p>
        </w:tc>
      </w:tr>
    </w:tbl>
    <w:p w14:paraId="36774A9F" w14:textId="77777777" w:rsidR="00D84031" w:rsidRDefault="00D84031">
      <w:pPr>
        <w:spacing w:after="0" w:line="150" w:lineRule="auto"/>
      </w:pPr>
    </w:p>
    <w:p w14:paraId="1976803E" w14:textId="77777777" w:rsidR="00D84031" w:rsidRPr="00C62CF4" w:rsidRDefault="007965BB">
      <w:pPr>
        <w:pStyle w:val="HeadingTwo"/>
        <w:rPr>
          <w:lang w:val="en-IE"/>
        </w:rPr>
      </w:pPr>
      <w:r w:rsidRPr="00C62CF4">
        <w:rPr>
          <w:lang w:val="en-IE"/>
        </w:rPr>
        <w:t>Call - Cluster 2 Partnerships</w:t>
      </w:r>
    </w:p>
    <w:p w14:paraId="72229320" w14:textId="77777777" w:rsidR="00D84031" w:rsidRDefault="007965BB">
      <w:pPr>
        <w:pStyle w:val="CallIdentifier"/>
      </w:pPr>
      <w:r>
        <w:t>HORIZON-CL2-2026-02</w:t>
      </w:r>
    </w:p>
    <w:p w14:paraId="33733334" w14:textId="77777777" w:rsidR="00D84031" w:rsidRDefault="007965BB">
      <w:pPr>
        <w:pStyle w:val="HeadingThree"/>
      </w:pPr>
      <w:r>
        <w:t>Overview of this call</w:t>
      </w:r>
      <w:r>
        <w:rPr>
          <w:vertAlign w:val="superscript"/>
        </w:rPr>
        <w:footnoteReference w:id="6"/>
      </w:r>
    </w:p>
    <w:p w14:paraId="6580200A" w14:textId="77777777" w:rsidR="00D84031" w:rsidRDefault="007965BB">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474"/>
        <w:gridCol w:w="1217"/>
        <w:gridCol w:w="1017"/>
        <w:gridCol w:w="1404"/>
        <w:gridCol w:w="1190"/>
      </w:tblGrid>
      <w:tr w:rsidR="00D84031" w14:paraId="77AD759D" w14:textId="77777777">
        <w:tc>
          <w:tcPr>
            <w:tcW w:w="2000" w:type="dxa"/>
            <w:vMerge w:val="restart"/>
          </w:tcPr>
          <w:p w14:paraId="7F5A0AC7" w14:textId="77777777" w:rsidR="00D84031" w:rsidRDefault="007965BB">
            <w:pPr>
              <w:pStyle w:val="CellHeaderTextValue"/>
            </w:pPr>
            <w:r>
              <w:t>Topics</w:t>
            </w:r>
          </w:p>
        </w:tc>
        <w:tc>
          <w:tcPr>
            <w:tcW w:w="800" w:type="dxa"/>
            <w:vMerge w:val="restart"/>
          </w:tcPr>
          <w:p w14:paraId="3C5C6AC1" w14:textId="77777777" w:rsidR="00D84031" w:rsidRDefault="007965BB">
            <w:pPr>
              <w:pStyle w:val="CellHeaderTextValue"/>
            </w:pPr>
            <w:r>
              <w:t>Type of Action</w:t>
            </w:r>
          </w:p>
        </w:tc>
        <w:tc>
          <w:tcPr>
            <w:tcW w:w="0" w:type="auto"/>
          </w:tcPr>
          <w:p w14:paraId="40784EB2" w14:textId="77777777" w:rsidR="00D84031" w:rsidRDefault="007965BB">
            <w:pPr>
              <w:pStyle w:val="CellHeaderTextValue"/>
            </w:pPr>
            <w:r>
              <w:t>Budgets (EUR million)</w:t>
            </w:r>
          </w:p>
        </w:tc>
        <w:tc>
          <w:tcPr>
            <w:tcW w:w="0" w:type="auto"/>
            <w:vMerge w:val="restart"/>
          </w:tcPr>
          <w:p w14:paraId="626FE1AC" w14:textId="77777777" w:rsidR="00D84031" w:rsidRDefault="007965BB">
            <w:pPr>
              <w:pStyle w:val="CellHeaderTextValue"/>
            </w:pPr>
            <w:r>
              <w:t xml:space="preserve">Expected EU contribution </w:t>
            </w:r>
            <w:r>
              <w:lastRenderedPageBreak/>
              <w:t>per project (EUR million)</w:t>
            </w:r>
            <w:r>
              <w:rPr>
                <w:vertAlign w:val="superscript"/>
              </w:rPr>
              <w:footnoteReference w:id="7"/>
            </w:r>
          </w:p>
        </w:tc>
        <w:tc>
          <w:tcPr>
            <w:tcW w:w="800" w:type="dxa"/>
            <w:vMerge w:val="restart"/>
          </w:tcPr>
          <w:p w14:paraId="7931699C" w14:textId="77777777" w:rsidR="00D84031" w:rsidRDefault="007965BB">
            <w:pPr>
              <w:pStyle w:val="CellHeaderTextValue"/>
            </w:pPr>
            <w:r>
              <w:lastRenderedPageBreak/>
              <w:t xml:space="preserve">Indicative number of </w:t>
            </w:r>
            <w:r>
              <w:lastRenderedPageBreak/>
              <w:t>projects expected to be funded</w:t>
            </w:r>
          </w:p>
        </w:tc>
      </w:tr>
      <w:tr w:rsidR="00D84031" w14:paraId="28C196C9" w14:textId="77777777">
        <w:tc>
          <w:tcPr>
            <w:tcW w:w="0" w:type="auto"/>
            <w:vMerge/>
          </w:tcPr>
          <w:p w14:paraId="5485F042" w14:textId="77777777" w:rsidR="00D84031" w:rsidRDefault="00D84031"/>
        </w:tc>
        <w:tc>
          <w:tcPr>
            <w:tcW w:w="0" w:type="auto"/>
            <w:vMerge/>
          </w:tcPr>
          <w:p w14:paraId="315F074B" w14:textId="77777777" w:rsidR="00D84031" w:rsidRDefault="00D84031"/>
        </w:tc>
        <w:tc>
          <w:tcPr>
            <w:tcW w:w="0" w:type="auto"/>
          </w:tcPr>
          <w:p w14:paraId="25A790A1" w14:textId="77777777" w:rsidR="00D84031" w:rsidRDefault="007965BB">
            <w:pPr>
              <w:pStyle w:val="CellHeaderTextValue"/>
            </w:pPr>
            <w:r>
              <w:t>2026</w:t>
            </w:r>
          </w:p>
        </w:tc>
        <w:tc>
          <w:tcPr>
            <w:tcW w:w="0" w:type="auto"/>
            <w:vMerge/>
          </w:tcPr>
          <w:p w14:paraId="286435CC" w14:textId="77777777" w:rsidR="00D84031" w:rsidRDefault="00D84031"/>
        </w:tc>
        <w:tc>
          <w:tcPr>
            <w:tcW w:w="0" w:type="auto"/>
            <w:vMerge/>
          </w:tcPr>
          <w:p w14:paraId="2770ADA0" w14:textId="77777777" w:rsidR="00D84031" w:rsidRDefault="00D84031"/>
        </w:tc>
      </w:tr>
      <w:tr w:rsidR="00C62CF4" w14:paraId="3699652C" w14:textId="77777777" w:rsidTr="00C62CF4">
        <w:tc>
          <w:tcPr>
            <w:tcW w:w="0" w:type="auto"/>
            <w:gridSpan w:val="5"/>
          </w:tcPr>
          <w:p w14:paraId="25C277AF" w14:textId="77777777" w:rsidR="00D84031" w:rsidRDefault="007965BB">
            <w:pPr>
              <w:pStyle w:val="CellTextValue"/>
              <w:jc w:val="center"/>
            </w:pPr>
            <w:r>
              <w:t>Opening: 12 May 2026</w:t>
            </w:r>
          </w:p>
          <w:p w14:paraId="3076462C" w14:textId="77777777" w:rsidR="00D84031" w:rsidRDefault="007965BB">
            <w:pPr>
              <w:pStyle w:val="CellTextValue"/>
              <w:jc w:val="center"/>
            </w:pPr>
            <w:r>
              <w:t>Deadline(s): 16 Sep 2026</w:t>
            </w:r>
          </w:p>
        </w:tc>
      </w:tr>
      <w:tr w:rsidR="00C62CF4" w14:paraId="541E4F9E" w14:textId="77777777" w:rsidTr="00C62CF4">
        <w:tc>
          <w:tcPr>
            <w:tcW w:w="0" w:type="auto"/>
            <w:gridSpan w:val="5"/>
          </w:tcPr>
          <w:p w14:paraId="35CB1364" w14:textId="77777777" w:rsidR="00D84031" w:rsidRDefault="007965BB">
            <w:pPr>
              <w:pStyle w:val="CellTextValue"/>
            </w:pPr>
            <w:r>
              <w:t>Destination Innovative Research on Social and Economic Transformations</w:t>
            </w:r>
          </w:p>
        </w:tc>
      </w:tr>
      <w:tr w:rsidR="00D84031" w14:paraId="35AA657E" w14:textId="77777777">
        <w:tc>
          <w:tcPr>
            <w:tcW w:w="0" w:type="auto"/>
          </w:tcPr>
          <w:p w14:paraId="29E13F09" w14:textId="77777777" w:rsidR="00D84031" w:rsidRDefault="007965BB">
            <w:pPr>
              <w:pStyle w:val="CellTextValue"/>
            </w:pPr>
            <w:r>
              <w:t>HORIZON-CL2-2026-02-TRANSFO-01: Co-funded European Partnership for Social Transformations and Resilience</w:t>
            </w:r>
          </w:p>
        </w:tc>
        <w:tc>
          <w:tcPr>
            <w:tcW w:w="0" w:type="auto"/>
          </w:tcPr>
          <w:p w14:paraId="413BFF8E" w14:textId="77777777" w:rsidR="00D84031" w:rsidRDefault="007965BB">
            <w:pPr>
              <w:pStyle w:val="CellTextValue"/>
            </w:pPr>
            <w:r>
              <w:t>COFUND</w:t>
            </w:r>
          </w:p>
        </w:tc>
        <w:tc>
          <w:tcPr>
            <w:tcW w:w="0" w:type="auto"/>
            <w:vMerge w:val="restart"/>
          </w:tcPr>
          <w:p w14:paraId="35C7C8C6" w14:textId="77777777" w:rsidR="00D84031" w:rsidRDefault="007965BB">
            <w:pPr>
              <w:pStyle w:val="CellTextValue"/>
            </w:pPr>
            <w:r>
              <w:t>60.00</w:t>
            </w:r>
          </w:p>
        </w:tc>
        <w:tc>
          <w:tcPr>
            <w:tcW w:w="0" w:type="auto"/>
          </w:tcPr>
          <w:p w14:paraId="4C6E13C5" w14:textId="77777777" w:rsidR="00D84031" w:rsidRDefault="007965BB">
            <w:pPr>
              <w:pStyle w:val="CellTextValue"/>
            </w:pPr>
            <w:r>
              <w:t>Around 60.00</w:t>
            </w:r>
          </w:p>
        </w:tc>
        <w:tc>
          <w:tcPr>
            <w:tcW w:w="0" w:type="auto"/>
          </w:tcPr>
          <w:p w14:paraId="35F93D1E" w14:textId="77777777" w:rsidR="00D84031" w:rsidRDefault="007965BB">
            <w:pPr>
              <w:pStyle w:val="CellTextValue"/>
            </w:pPr>
            <w:r>
              <w:t>1</w:t>
            </w:r>
          </w:p>
        </w:tc>
      </w:tr>
      <w:tr w:rsidR="00D84031" w14:paraId="22CBB35D" w14:textId="77777777">
        <w:tc>
          <w:tcPr>
            <w:tcW w:w="0" w:type="auto"/>
          </w:tcPr>
          <w:p w14:paraId="65045216" w14:textId="77777777" w:rsidR="00D84031" w:rsidRDefault="007965BB">
            <w:pPr>
              <w:pStyle w:val="CellTextValue"/>
            </w:pPr>
            <w:r>
              <w:t>Overall indicative budget</w:t>
            </w:r>
          </w:p>
        </w:tc>
        <w:tc>
          <w:tcPr>
            <w:tcW w:w="0" w:type="auto"/>
          </w:tcPr>
          <w:p w14:paraId="71CE027C" w14:textId="77777777" w:rsidR="00D84031" w:rsidRDefault="00D84031"/>
        </w:tc>
        <w:tc>
          <w:tcPr>
            <w:tcW w:w="0" w:type="auto"/>
          </w:tcPr>
          <w:p w14:paraId="07424FDA" w14:textId="77777777" w:rsidR="00D84031" w:rsidRDefault="007965BB">
            <w:pPr>
              <w:pStyle w:val="CellTextValue"/>
            </w:pPr>
            <w:r>
              <w:t>60.00</w:t>
            </w:r>
          </w:p>
        </w:tc>
        <w:tc>
          <w:tcPr>
            <w:tcW w:w="0" w:type="auto"/>
          </w:tcPr>
          <w:p w14:paraId="15FE1AF7" w14:textId="77777777" w:rsidR="00D84031" w:rsidRDefault="00D84031"/>
        </w:tc>
        <w:tc>
          <w:tcPr>
            <w:tcW w:w="0" w:type="auto"/>
          </w:tcPr>
          <w:p w14:paraId="505D351E" w14:textId="77777777" w:rsidR="00D84031" w:rsidRDefault="00D84031"/>
        </w:tc>
      </w:tr>
    </w:tbl>
    <w:p w14:paraId="7BACCD19" w14:textId="77777777" w:rsidR="00D84031" w:rsidRDefault="00D84031">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C62CF4" w14:paraId="1C6A7511" w14:textId="77777777" w:rsidTr="00C62CF4">
        <w:tc>
          <w:tcPr>
            <w:tcW w:w="0" w:type="auto"/>
            <w:gridSpan w:val="2"/>
          </w:tcPr>
          <w:p w14:paraId="2F4541E0" w14:textId="77777777" w:rsidR="00D84031" w:rsidRDefault="007965BB">
            <w:pPr>
              <w:pStyle w:val="CellTextValue"/>
            </w:pPr>
            <w:r>
              <w:rPr>
                <w:b/>
              </w:rPr>
              <w:t>General conditions relating to this call</w:t>
            </w:r>
          </w:p>
        </w:tc>
      </w:tr>
      <w:tr w:rsidR="00D84031" w14:paraId="7A26F7FA" w14:textId="77777777">
        <w:tc>
          <w:tcPr>
            <w:tcW w:w="0" w:type="auto"/>
          </w:tcPr>
          <w:p w14:paraId="3B19E0DF" w14:textId="77777777" w:rsidR="00D84031" w:rsidRDefault="007965BB">
            <w:pPr>
              <w:pStyle w:val="CellTextValue"/>
              <w:jc w:val="left"/>
            </w:pPr>
            <w:r>
              <w:rPr>
                <w:i/>
              </w:rPr>
              <w:t>Admissibility conditions</w:t>
            </w:r>
          </w:p>
        </w:tc>
        <w:tc>
          <w:tcPr>
            <w:tcW w:w="0" w:type="auto"/>
          </w:tcPr>
          <w:p w14:paraId="6AD4A0BA" w14:textId="77777777" w:rsidR="00D84031" w:rsidRDefault="007965BB">
            <w:pPr>
              <w:pStyle w:val="CellTextValue"/>
            </w:pPr>
            <w:r>
              <w:rPr>
                <w:color w:val="000000"/>
              </w:rPr>
              <w:t xml:space="preserve">The </w:t>
            </w:r>
            <w:r>
              <w:rPr>
                <w:color w:val="000000"/>
              </w:rPr>
              <w:t>conditions are described in General Annex A.</w:t>
            </w:r>
          </w:p>
        </w:tc>
      </w:tr>
      <w:tr w:rsidR="00D84031" w14:paraId="603D9F24" w14:textId="77777777">
        <w:tc>
          <w:tcPr>
            <w:tcW w:w="0" w:type="auto"/>
          </w:tcPr>
          <w:p w14:paraId="44042E20" w14:textId="77777777" w:rsidR="00D84031" w:rsidRDefault="007965BB">
            <w:pPr>
              <w:pStyle w:val="CellTextValue"/>
              <w:jc w:val="left"/>
            </w:pPr>
            <w:r>
              <w:rPr>
                <w:i/>
              </w:rPr>
              <w:t>Eligibility conditions</w:t>
            </w:r>
          </w:p>
        </w:tc>
        <w:tc>
          <w:tcPr>
            <w:tcW w:w="0" w:type="auto"/>
          </w:tcPr>
          <w:p w14:paraId="6F6A68A6" w14:textId="77777777" w:rsidR="00D84031" w:rsidRDefault="007965BB">
            <w:pPr>
              <w:pStyle w:val="CellTextValue"/>
            </w:pPr>
            <w:r>
              <w:rPr>
                <w:color w:val="000000"/>
              </w:rPr>
              <w:t>The conditions are described in General Annex B.</w:t>
            </w:r>
          </w:p>
        </w:tc>
      </w:tr>
      <w:tr w:rsidR="00D84031" w14:paraId="1E76C094" w14:textId="77777777">
        <w:tc>
          <w:tcPr>
            <w:tcW w:w="0" w:type="auto"/>
          </w:tcPr>
          <w:p w14:paraId="370F0537" w14:textId="77777777" w:rsidR="00D84031" w:rsidRDefault="007965BB">
            <w:pPr>
              <w:pStyle w:val="CellTextValue"/>
              <w:jc w:val="left"/>
            </w:pPr>
            <w:r>
              <w:rPr>
                <w:i/>
              </w:rPr>
              <w:t>Financial and operational capacity and exclusion</w:t>
            </w:r>
          </w:p>
        </w:tc>
        <w:tc>
          <w:tcPr>
            <w:tcW w:w="0" w:type="auto"/>
          </w:tcPr>
          <w:p w14:paraId="5647E05A" w14:textId="77777777" w:rsidR="00D84031" w:rsidRDefault="007965BB">
            <w:pPr>
              <w:pStyle w:val="CellTextValue"/>
            </w:pPr>
            <w:r>
              <w:rPr>
                <w:color w:val="000000"/>
              </w:rPr>
              <w:t>The criteria are described in General Annex C.</w:t>
            </w:r>
          </w:p>
        </w:tc>
      </w:tr>
      <w:tr w:rsidR="00D84031" w14:paraId="45F6CF72" w14:textId="77777777">
        <w:tc>
          <w:tcPr>
            <w:tcW w:w="0" w:type="auto"/>
          </w:tcPr>
          <w:p w14:paraId="4CC6A61C" w14:textId="77777777" w:rsidR="00D84031" w:rsidRDefault="007965BB">
            <w:pPr>
              <w:pStyle w:val="CellTextValue"/>
              <w:jc w:val="left"/>
            </w:pPr>
            <w:r>
              <w:rPr>
                <w:i/>
              </w:rPr>
              <w:t>Award criteria</w:t>
            </w:r>
          </w:p>
        </w:tc>
        <w:tc>
          <w:tcPr>
            <w:tcW w:w="0" w:type="auto"/>
          </w:tcPr>
          <w:p w14:paraId="7BDF70C9" w14:textId="77777777" w:rsidR="00D84031" w:rsidRDefault="007965BB">
            <w:pPr>
              <w:pStyle w:val="CellTextValue"/>
            </w:pPr>
            <w:r>
              <w:rPr>
                <w:color w:val="000000"/>
              </w:rPr>
              <w:t>The criteria are described in General Annex D.</w:t>
            </w:r>
          </w:p>
        </w:tc>
      </w:tr>
      <w:tr w:rsidR="00D84031" w14:paraId="6450941A" w14:textId="77777777">
        <w:tc>
          <w:tcPr>
            <w:tcW w:w="0" w:type="auto"/>
          </w:tcPr>
          <w:p w14:paraId="28812F24" w14:textId="77777777" w:rsidR="00D84031" w:rsidRDefault="007965BB">
            <w:pPr>
              <w:pStyle w:val="CellTextValue"/>
              <w:jc w:val="left"/>
            </w:pPr>
            <w:r>
              <w:rPr>
                <w:i/>
              </w:rPr>
              <w:t>Documents</w:t>
            </w:r>
          </w:p>
        </w:tc>
        <w:tc>
          <w:tcPr>
            <w:tcW w:w="0" w:type="auto"/>
          </w:tcPr>
          <w:p w14:paraId="7EFA530A" w14:textId="77777777" w:rsidR="00D84031" w:rsidRDefault="007965BB">
            <w:pPr>
              <w:pStyle w:val="CellTextValue"/>
            </w:pPr>
            <w:r>
              <w:rPr>
                <w:color w:val="000000"/>
              </w:rPr>
              <w:t>The documents are described in General Annex E.</w:t>
            </w:r>
          </w:p>
        </w:tc>
      </w:tr>
      <w:tr w:rsidR="00D84031" w14:paraId="0E39C4FC" w14:textId="77777777">
        <w:tc>
          <w:tcPr>
            <w:tcW w:w="0" w:type="auto"/>
          </w:tcPr>
          <w:p w14:paraId="024E91D3" w14:textId="77777777" w:rsidR="00D84031" w:rsidRDefault="007965BB">
            <w:pPr>
              <w:pStyle w:val="CellTextValue"/>
              <w:jc w:val="left"/>
            </w:pPr>
            <w:r>
              <w:rPr>
                <w:i/>
              </w:rPr>
              <w:t>Procedure</w:t>
            </w:r>
          </w:p>
        </w:tc>
        <w:tc>
          <w:tcPr>
            <w:tcW w:w="0" w:type="auto"/>
          </w:tcPr>
          <w:p w14:paraId="1B3D001B" w14:textId="77777777" w:rsidR="00D84031" w:rsidRDefault="007965BB">
            <w:pPr>
              <w:pStyle w:val="CellTextValue"/>
            </w:pPr>
            <w:r>
              <w:rPr>
                <w:color w:val="000000"/>
              </w:rPr>
              <w:t>The procedure is described in General Annex F.</w:t>
            </w:r>
          </w:p>
        </w:tc>
      </w:tr>
      <w:tr w:rsidR="00D84031" w14:paraId="0902CBE0" w14:textId="77777777">
        <w:tc>
          <w:tcPr>
            <w:tcW w:w="0" w:type="auto"/>
          </w:tcPr>
          <w:p w14:paraId="5946B25D" w14:textId="77777777" w:rsidR="00D84031" w:rsidRDefault="007965BB">
            <w:pPr>
              <w:pStyle w:val="CellTextValue"/>
              <w:jc w:val="left"/>
            </w:pPr>
            <w:r>
              <w:rPr>
                <w:i/>
              </w:rPr>
              <w:t>Legal and financial set-up of the Grant Agreements</w:t>
            </w:r>
          </w:p>
        </w:tc>
        <w:tc>
          <w:tcPr>
            <w:tcW w:w="0" w:type="auto"/>
          </w:tcPr>
          <w:p w14:paraId="08358A2E" w14:textId="77777777" w:rsidR="00D84031" w:rsidRDefault="007965BB">
            <w:pPr>
              <w:pStyle w:val="CellTextValue"/>
            </w:pPr>
            <w:r>
              <w:rPr>
                <w:color w:val="000000"/>
              </w:rPr>
              <w:t>The rules are described in General Annex G.</w:t>
            </w:r>
          </w:p>
        </w:tc>
      </w:tr>
    </w:tbl>
    <w:p w14:paraId="4B53F697" w14:textId="77777777" w:rsidR="00D84031" w:rsidRDefault="00D84031">
      <w:pPr>
        <w:spacing w:after="0" w:line="150" w:lineRule="auto"/>
      </w:pPr>
    </w:p>
    <w:p w14:paraId="6F27CAC1" w14:textId="77777777" w:rsidR="00D84031" w:rsidRDefault="007965BB">
      <w:pPr>
        <w:pStyle w:val="HeadingOne"/>
        <w:pageBreakBefore/>
      </w:pPr>
      <w:r>
        <w:lastRenderedPageBreak/>
        <w:t>CALLS 2027</w:t>
      </w:r>
    </w:p>
    <w:p w14:paraId="649A4E63" w14:textId="77777777" w:rsidR="00D84031" w:rsidRPr="00C62CF4" w:rsidRDefault="007965BB">
      <w:pPr>
        <w:pStyle w:val="HeadingTwo"/>
        <w:rPr>
          <w:lang w:val="en-IE"/>
        </w:rPr>
      </w:pPr>
      <w:r w:rsidRPr="00C62CF4">
        <w:rPr>
          <w:lang w:val="en-IE"/>
        </w:rPr>
        <w:t xml:space="preserve">Call - </w:t>
      </w:r>
      <w:r w:rsidRPr="00C62CF4">
        <w:rPr>
          <w:lang w:val="en-IE"/>
        </w:rPr>
        <w:t>Culture, Creativity and Inclusive Society - 2027</w:t>
      </w:r>
    </w:p>
    <w:p w14:paraId="0EBE2AF9" w14:textId="77777777" w:rsidR="00D84031" w:rsidRDefault="007965BB">
      <w:pPr>
        <w:pStyle w:val="CallIdentifier"/>
      </w:pPr>
      <w:r>
        <w:t>HORIZON-CL2-2027-01</w:t>
      </w:r>
    </w:p>
    <w:p w14:paraId="3083415D" w14:textId="77777777" w:rsidR="00D84031" w:rsidRDefault="007965BB">
      <w:pPr>
        <w:pStyle w:val="HeadingThree"/>
      </w:pPr>
      <w:r>
        <w:t>Overview of this call</w:t>
      </w:r>
      <w:r>
        <w:rPr>
          <w:vertAlign w:val="superscript"/>
        </w:rPr>
        <w:footnoteReference w:id="8"/>
      </w:r>
    </w:p>
    <w:p w14:paraId="366F5B63" w14:textId="77777777" w:rsidR="00D84031" w:rsidRDefault="007965BB">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D84031" w14:paraId="330D76B4" w14:textId="77777777">
        <w:tc>
          <w:tcPr>
            <w:tcW w:w="2000" w:type="dxa"/>
            <w:vMerge w:val="restart"/>
          </w:tcPr>
          <w:p w14:paraId="6911AD32" w14:textId="77777777" w:rsidR="00D84031" w:rsidRDefault="007965BB">
            <w:pPr>
              <w:pStyle w:val="CellHeaderTextValue"/>
            </w:pPr>
            <w:r>
              <w:t>Topics</w:t>
            </w:r>
          </w:p>
        </w:tc>
        <w:tc>
          <w:tcPr>
            <w:tcW w:w="800" w:type="dxa"/>
            <w:vMerge w:val="restart"/>
          </w:tcPr>
          <w:p w14:paraId="662E34E6" w14:textId="77777777" w:rsidR="00D84031" w:rsidRDefault="007965BB">
            <w:pPr>
              <w:pStyle w:val="CellHeaderTextValue"/>
            </w:pPr>
            <w:r>
              <w:t>Type of Action</w:t>
            </w:r>
          </w:p>
        </w:tc>
        <w:tc>
          <w:tcPr>
            <w:tcW w:w="0" w:type="auto"/>
          </w:tcPr>
          <w:p w14:paraId="15B03E50" w14:textId="77777777" w:rsidR="00D84031" w:rsidRDefault="007965BB">
            <w:pPr>
              <w:pStyle w:val="CellHeaderTextValue"/>
            </w:pPr>
            <w:r>
              <w:t>Budgets (EUR million)</w:t>
            </w:r>
          </w:p>
        </w:tc>
        <w:tc>
          <w:tcPr>
            <w:tcW w:w="0" w:type="auto"/>
            <w:vMerge w:val="restart"/>
          </w:tcPr>
          <w:p w14:paraId="255345FA" w14:textId="77777777" w:rsidR="00D84031" w:rsidRDefault="007965BB">
            <w:pPr>
              <w:pStyle w:val="CellHeaderTextValue"/>
            </w:pPr>
            <w:r>
              <w:t xml:space="preserve">Expected EU contribution per project (EUR </w:t>
            </w:r>
            <w:r>
              <w:t>million)</w:t>
            </w:r>
            <w:r>
              <w:rPr>
                <w:vertAlign w:val="superscript"/>
              </w:rPr>
              <w:footnoteReference w:id="9"/>
            </w:r>
          </w:p>
        </w:tc>
        <w:tc>
          <w:tcPr>
            <w:tcW w:w="800" w:type="dxa"/>
            <w:vMerge w:val="restart"/>
          </w:tcPr>
          <w:p w14:paraId="06B0432B" w14:textId="77777777" w:rsidR="00D84031" w:rsidRDefault="007965BB">
            <w:pPr>
              <w:pStyle w:val="CellHeaderTextValue"/>
            </w:pPr>
            <w:r>
              <w:t>Indicative number of projects expected to be funded</w:t>
            </w:r>
          </w:p>
        </w:tc>
      </w:tr>
      <w:tr w:rsidR="00D84031" w14:paraId="641F6B90" w14:textId="77777777">
        <w:tc>
          <w:tcPr>
            <w:tcW w:w="0" w:type="auto"/>
            <w:vMerge/>
          </w:tcPr>
          <w:p w14:paraId="268FA611" w14:textId="77777777" w:rsidR="00D84031" w:rsidRDefault="00D84031"/>
        </w:tc>
        <w:tc>
          <w:tcPr>
            <w:tcW w:w="0" w:type="auto"/>
            <w:vMerge/>
          </w:tcPr>
          <w:p w14:paraId="6FE2A95F" w14:textId="77777777" w:rsidR="00D84031" w:rsidRDefault="00D84031"/>
        </w:tc>
        <w:tc>
          <w:tcPr>
            <w:tcW w:w="0" w:type="auto"/>
          </w:tcPr>
          <w:p w14:paraId="6588A17D" w14:textId="77777777" w:rsidR="00D84031" w:rsidRDefault="007965BB">
            <w:pPr>
              <w:pStyle w:val="CellHeaderTextValue"/>
            </w:pPr>
            <w:r>
              <w:t>2027</w:t>
            </w:r>
          </w:p>
        </w:tc>
        <w:tc>
          <w:tcPr>
            <w:tcW w:w="0" w:type="auto"/>
            <w:vMerge/>
          </w:tcPr>
          <w:p w14:paraId="45A81B8A" w14:textId="77777777" w:rsidR="00D84031" w:rsidRDefault="00D84031"/>
        </w:tc>
        <w:tc>
          <w:tcPr>
            <w:tcW w:w="0" w:type="auto"/>
            <w:vMerge/>
          </w:tcPr>
          <w:p w14:paraId="5D3562E2" w14:textId="77777777" w:rsidR="00D84031" w:rsidRDefault="00D84031"/>
        </w:tc>
      </w:tr>
      <w:tr w:rsidR="00C62CF4" w14:paraId="1564300D" w14:textId="77777777" w:rsidTr="00C62CF4">
        <w:tc>
          <w:tcPr>
            <w:tcW w:w="0" w:type="auto"/>
            <w:gridSpan w:val="5"/>
          </w:tcPr>
          <w:p w14:paraId="246E6FFF" w14:textId="77777777" w:rsidR="00D84031" w:rsidRDefault="007965BB">
            <w:pPr>
              <w:pStyle w:val="CellTextValue"/>
              <w:jc w:val="center"/>
            </w:pPr>
            <w:r>
              <w:t>Opening: 13 May 2027</w:t>
            </w:r>
          </w:p>
          <w:p w14:paraId="3BCB46B4" w14:textId="77777777" w:rsidR="00D84031" w:rsidRDefault="007965BB">
            <w:pPr>
              <w:pStyle w:val="CellTextValue"/>
              <w:jc w:val="center"/>
            </w:pPr>
            <w:r>
              <w:t>Deadline(s): 16 Sep 2027</w:t>
            </w:r>
          </w:p>
        </w:tc>
      </w:tr>
      <w:tr w:rsidR="00C62CF4" w14:paraId="5D12DF33" w14:textId="77777777" w:rsidTr="00C62CF4">
        <w:tc>
          <w:tcPr>
            <w:tcW w:w="0" w:type="auto"/>
            <w:gridSpan w:val="5"/>
          </w:tcPr>
          <w:p w14:paraId="3F940F01" w14:textId="77777777" w:rsidR="00D84031" w:rsidRDefault="007965BB">
            <w:pPr>
              <w:pStyle w:val="CellTextValue"/>
            </w:pPr>
            <w:r>
              <w:t>Destination Innovative Research on Democracy and Governance</w:t>
            </w:r>
          </w:p>
        </w:tc>
      </w:tr>
      <w:tr w:rsidR="00D84031" w14:paraId="5A842343" w14:textId="77777777">
        <w:tc>
          <w:tcPr>
            <w:tcW w:w="0" w:type="auto"/>
          </w:tcPr>
          <w:p w14:paraId="38099466" w14:textId="77777777" w:rsidR="00D84031" w:rsidRDefault="007965BB">
            <w:pPr>
              <w:pStyle w:val="CellTextValue"/>
            </w:pPr>
            <w:r>
              <w:t xml:space="preserve">HORIZON-CL2-2027-01-DEMOCRACY-01: Advisory support and network for countering and preventing radicalisation, extremism, hate speech and polarisation </w:t>
            </w:r>
          </w:p>
        </w:tc>
        <w:tc>
          <w:tcPr>
            <w:tcW w:w="0" w:type="auto"/>
          </w:tcPr>
          <w:p w14:paraId="628EE3F8" w14:textId="77777777" w:rsidR="00D84031" w:rsidRDefault="007965BB">
            <w:pPr>
              <w:pStyle w:val="CellTextValue"/>
            </w:pPr>
            <w:r>
              <w:t>CSA</w:t>
            </w:r>
          </w:p>
        </w:tc>
        <w:tc>
          <w:tcPr>
            <w:tcW w:w="0" w:type="auto"/>
            <w:vMerge w:val="restart"/>
          </w:tcPr>
          <w:p w14:paraId="1ECC95E9" w14:textId="77777777" w:rsidR="00D84031" w:rsidRDefault="007965BB">
            <w:pPr>
              <w:pStyle w:val="CellTextValue"/>
            </w:pPr>
            <w:r>
              <w:t>3.50</w:t>
            </w:r>
          </w:p>
        </w:tc>
        <w:tc>
          <w:tcPr>
            <w:tcW w:w="0" w:type="auto"/>
          </w:tcPr>
          <w:p w14:paraId="299FC5F1" w14:textId="77777777" w:rsidR="00D84031" w:rsidRDefault="007965BB">
            <w:pPr>
              <w:pStyle w:val="CellTextValue"/>
            </w:pPr>
            <w:r>
              <w:t>3.00 to 3.50</w:t>
            </w:r>
          </w:p>
        </w:tc>
        <w:tc>
          <w:tcPr>
            <w:tcW w:w="0" w:type="auto"/>
          </w:tcPr>
          <w:p w14:paraId="71796E2A" w14:textId="77777777" w:rsidR="00D84031" w:rsidRDefault="007965BB">
            <w:pPr>
              <w:pStyle w:val="CellTextValue"/>
            </w:pPr>
            <w:r>
              <w:t>1</w:t>
            </w:r>
          </w:p>
        </w:tc>
      </w:tr>
      <w:tr w:rsidR="00D84031" w14:paraId="4090CE86" w14:textId="77777777">
        <w:tc>
          <w:tcPr>
            <w:tcW w:w="0" w:type="auto"/>
          </w:tcPr>
          <w:p w14:paraId="1A49B1A9" w14:textId="77777777" w:rsidR="00D84031" w:rsidRDefault="007965BB">
            <w:pPr>
              <w:pStyle w:val="CellTextValue"/>
            </w:pPr>
            <w:r>
              <w:t xml:space="preserve">HORIZON-CL2-2027-01-DEMOCRACY-02: Women’s, LGBTIQ and minority rights in a </w:t>
            </w:r>
            <w:r>
              <w:t>context of autocracy, conflict and geopolitical shifts</w:t>
            </w:r>
          </w:p>
        </w:tc>
        <w:tc>
          <w:tcPr>
            <w:tcW w:w="0" w:type="auto"/>
          </w:tcPr>
          <w:p w14:paraId="18315E96" w14:textId="77777777" w:rsidR="00D84031" w:rsidRDefault="007965BB">
            <w:pPr>
              <w:pStyle w:val="CellTextValue"/>
            </w:pPr>
            <w:r>
              <w:t>RIA</w:t>
            </w:r>
          </w:p>
        </w:tc>
        <w:tc>
          <w:tcPr>
            <w:tcW w:w="0" w:type="auto"/>
            <w:vMerge w:val="restart"/>
          </w:tcPr>
          <w:p w14:paraId="39067131" w14:textId="77777777" w:rsidR="00D84031" w:rsidRDefault="007965BB">
            <w:pPr>
              <w:pStyle w:val="CellTextValue"/>
            </w:pPr>
            <w:r>
              <w:t>12.00</w:t>
            </w:r>
          </w:p>
        </w:tc>
        <w:tc>
          <w:tcPr>
            <w:tcW w:w="0" w:type="auto"/>
          </w:tcPr>
          <w:p w14:paraId="47313054" w14:textId="77777777" w:rsidR="00D84031" w:rsidRDefault="007965BB">
            <w:pPr>
              <w:pStyle w:val="CellTextValue"/>
            </w:pPr>
            <w:r>
              <w:t>3.50 to 4.00</w:t>
            </w:r>
          </w:p>
        </w:tc>
        <w:tc>
          <w:tcPr>
            <w:tcW w:w="0" w:type="auto"/>
          </w:tcPr>
          <w:p w14:paraId="4517E3F4" w14:textId="77777777" w:rsidR="00D84031" w:rsidRDefault="007965BB">
            <w:pPr>
              <w:pStyle w:val="CellTextValue"/>
            </w:pPr>
            <w:r>
              <w:t>3</w:t>
            </w:r>
          </w:p>
        </w:tc>
      </w:tr>
      <w:tr w:rsidR="00D84031" w14:paraId="3692162E" w14:textId="77777777">
        <w:tc>
          <w:tcPr>
            <w:tcW w:w="0" w:type="auto"/>
          </w:tcPr>
          <w:p w14:paraId="0E4FBE14" w14:textId="77777777" w:rsidR="00D84031" w:rsidRDefault="007965BB">
            <w:pPr>
              <w:pStyle w:val="CellTextValue"/>
            </w:pPr>
            <w:r>
              <w:t xml:space="preserve">HORIZON-CL2-2027-01-DEMOCRACY-03: Student and family engagement for developing a culture of democratic/civic participation </w:t>
            </w:r>
          </w:p>
        </w:tc>
        <w:tc>
          <w:tcPr>
            <w:tcW w:w="0" w:type="auto"/>
          </w:tcPr>
          <w:p w14:paraId="243BBF1D" w14:textId="77777777" w:rsidR="00D84031" w:rsidRDefault="007965BB">
            <w:pPr>
              <w:pStyle w:val="CellTextValue"/>
            </w:pPr>
            <w:r>
              <w:t>RIA</w:t>
            </w:r>
          </w:p>
        </w:tc>
        <w:tc>
          <w:tcPr>
            <w:tcW w:w="0" w:type="auto"/>
            <w:vMerge w:val="restart"/>
          </w:tcPr>
          <w:p w14:paraId="231F77B4" w14:textId="77777777" w:rsidR="00D84031" w:rsidRDefault="007965BB">
            <w:pPr>
              <w:pStyle w:val="CellTextValue"/>
            </w:pPr>
            <w:r>
              <w:t>12.00</w:t>
            </w:r>
          </w:p>
        </w:tc>
        <w:tc>
          <w:tcPr>
            <w:tcW w:w="0" w:type="auto"/>
          </w:tcPr>
          <w:p w14:paraId="094008C3" w14:textId="77777777" w:rsidR="00D84031" w:rsidRDefault="007965BB">
            <w:pPr>
              <w:pStyle w:val="CellTextValue"/>
            </w:pPr>
            <w:r>
              <w:t>3.50 to 4.00</w:t>
            </w:r>
          </w:p>
        </w:tc>
        <w:tc>
          <w:tcPr>
            <w:tcW w:w="0" w:type="auto"/>
          </w:tcPr>
          <w:p w14:paraId="789CE88B" w14:textId="77777777" w:rsidR="00D84031" w:rsidRDefault="007965BB">
            <w:pPr>
              <w:pStyle w:val="CellTextValue"/>
            </w:pPr>
            <w:r>
              <w:t>3</w:t>
            </w:r>
          </w:p>
        </w:tc>
      </w:tr>
      <w:tr w:rsidR="00D84031" w14:paraId="5EA4421F" w14:textId="77777777">
        <w:tc>
          <w:tcPr>
            <w:tcW w:w="0" w:type="auto"/>
          </w:tcPr>
          <w:p w14:paraId="1D69BBF4" w14:textId="77777777" w:rsidR="00D84031" w:rsidRDefault="007965BB">
            <w:pPr>
              <w:pStyle w:val="CellTextValue"/>
            </w:pPr>
            <w:r>
              <w:t xml:space="preserve">HORIZON-CL2-2027-01-DEMOCRACY-04: Addressing the impact of artificial intelligence, </w:t>
            </w:r>
            <w:r>
              <w:lastRenderedPageBreak/>
              <w:t>cyberviolence, and deepfakes on equality, democracy and inclusive societies</w:t>
            </w:r>
          </w:p>
        </w:tc>
        <w:tc>
          <w:tcPr>
            <w:tcW w:w="0" w:type="auto"/>
          </w:tcPr>
          <w:p w14:paraId="7C5C3FED" w14:textId="77777777" w:rsidR="00D84031" w:rsidRDefault="007965BB">
            <w:pPr>
              <w:pStyle w:val="CellTextValue"/>
            </w:pPr>
            <w:r>
              <w:lastRenderedPageBreak/>
              <w:t>RIA</w:t>
            </w:r>
          </w:p>
        </w:tc>
        <w:tc>
          <w:tcPr>
            <w:tcW w:w="0" w:type="auto"/>
            <w:vMerge w:val="restart"/>
          </w:tcPr>
          <w:p w14:paraId="7A0D6174" w14:textId="77777777" w:rsidR="00D84031" w:rsidRDefault="007965BB">
            <w:pPr>
              <w:pStyle w:val="CellTextValue"/>
            </w:pPr>
            <w:r>
              <w:t>20.00</w:t>
            </w:r>
          </w:p>
        </w:tc>
        <w:tc>
          <w:tcPr>
            <w:tcW w:w="0" w:type="auto"/>
          </w:tcPr>
          <w:p w14:paraId="6E6090CE" w14:textId="77777777" w:rsidR="00D84031" w:rsidRDefault="007965BB">
            <w:pPr>
              <w:pStyle w:val="CellTextValue"/>
            </w:pPr>
            <w:r>
              <w:t>3.50 to 4.00</w:t>
            </w:r>
          </w:p>
        </w:tc>
        <w:tc>
          <w:tcPr>
            <w:tcW w:w="0" w:type="auto"/>
          </w:tcPr>
          <w:p w14:paraId="09A01DCF" w14:textId="77777777" w:rsidR="00D84031" w:rsidRDefault="007965BB">
            <w:pPr>
              <w:pStyle w:val="CellTextValue"/>
            </w:pPr>
            <w:r>
              <w:t>5</w:t>
            </w:r>
          </w:p>
        </w:tc>
      </w:tr>
      <w:tr w:rsidR="00D84031" w14:paraId="3C978311" w14:textId="77777777">
        <w:tc>
          <w:tcPr>
            <w:tcW w:w="0" w:type="auto"/>
          </w:tcPr>
          <w:p w14:paraId="5E899ABE" w14:textId="77777777" w:rsidR="00D84031" w:rsidRDefault="007965BB">
            <w:pPr>
              <w:pStyle w:val="CellTextValue"/>
            </w:pPr>
            <w:r>
              <w:t>HORIZON-CL2-2027-01-DEMOCRACY-05: Development aid and democratic governance</w:t>
            </w:r>
          </w:p>
        </w:tc>
        <w:tc>
          <w:tcPr>
            <w:tcW w:w="0" w:type="auto"/>
          </w:tcPr>
          <w:p w14:paraId="6002520C" w14:textId="77777777" w:rsidR="00D84031" w:rsidRDefault="007965BB">
            <w:pPr>
              <w:pStyle w:val="CellTextValue"/>
            </w:pPr>
            <w:r>
              <w:t>RIA</w:t>
            </w:r>
          </w:p>
        </w:tc>
        <w:tc>
          <w:tcPr>
            <w:tcW w:w="0" w:type="auto"/>
            <w:vMerge w:val="restart"/>
          </w:tcPr>
          <w:p w14:paraId="54128D32" w14:textId="77777777" w:rsidR="00D84031" w:rsidRDefault="007965BB">
            <w:pPr>
              <w:pStyle w:val="CellTextValue"/>
            </w:pPr>
            <w:r>
              <w:t>12.00</w:t>
            </w:r>
          </w:p>
        </w:tc>
        <w:tc>
          <w:tcPr>
            <w:tcW w:w="0" w:type="auto"/>
          </w:tcPr>
          <w:p w14:paraId="66BF9426" w14:textId="77777777" w:rsidR="00D84031" w:rsidRDefault="007965BB">
            <w:pPr>
              <w:pStyle w:val="CellTextValue"/>
            </w:pPr>
            <w:r>
              <w:t xml:space="preserve">3.50 to </w:t>
            </w:r>
            <w:r>
              <w:t>4.00</w:t>
            </w:r>
          </w:p>
        </w:tc>
        <w:tc>
          <w:tcPr>
            <w:tcW w:w="0" w:type="auto"/>
          </w:tcPr>
          <w:p w14:paraId="5EA35F9A" w14:textId="77777777" w:rsidR="00D84031" w:rsidRDefault="007965BB">
            <w:pPr>
              <w:pStyle w:val="CellTextValue"/>
            </w:pPr>
            <w:r>
              <w:t>3</w:t>
            </w:r>
          </w:p>
        </w:tc>
      </w:tr>
      <w:tr w:rsidR="00D84031" w14:paraId="36748190" w14:textId="77777777">
        <w:tc>
          <w:tcPr>
            <w:tcW w:w="0" w:type="auto"/>
          </w:tcPr>
          <w:p w14:paraId="1B8C0123" w14:textId="77777777" w:rsidR="00D84031" w:rsidRDefault="007965BB">
            <w:pPr>
              <w:pStyle w:val="CellTextValue"/>
            </w:pPr>
            <w:r>
              <w:t>HORIZON-CL2-2027-01-DEMOCRACY-06: Identifying user-focused solutions to support news media freedom</w:t>
            </w:r>
          </w:p>
        </w:tc>
        <w:tc>
          <w:tcPr>
            <w:tcW w:w="0" w:type="auto"/>
          </w:tcPr>
          <w:p w14:paraId="65146D03" w14:textId="77777777" w:rsidR="00D84031" w:rsidRDefault="007965BB">
            <w:pPr>
              <w:pStyle w:val="CellTextValue"/>
            </w:pPr>
            <w:r>
              <w:t>RIA</w:t>
            </w:r>
          </w:p>
        </w:tc>
        <w:tc>
          <w:tcPr>
            <w:tcW w:w="0" w:type="auto"/>
            <w:vMerge w:val="restart"/>
          </w:tcPr>
          <w:p w14:paraId="5BA6E900" w14:textId="77777777" w:rsidR="00D84031" w:rsidRDefault="007965BB">
            <w:pPr>
              <w:pStyle w:val="CellTextValue"/>
            </w:pPr>
            <w:r>
              <w:t>12.00</w:t>
            </w:r>
          </w:p>
        </w:tc>
        <w:tc>
          <w:tcPr>
            <w:tcW w:w="0" w:type="auto"/>
          </w:tcPr>
          <w:p w14:paraId="2D4587D5" w14:textId="77777777" w:rsidR="00D84031" w:rsidRDefault="007965BB">
            <w:pPr>
              <w:pStyle w:val="CellTextValue"/>
            </w:pPr>
            <w:r>
              <w:t>3.50 to 4.00</w:t>
            </w:r>
          </w:p>
        </w:tc>
        <w:tc>
          <w:tcPr>
            <w:tcW w:w="0" w:type="auto"/>
          </w:tcPr>
          <w:p w14:paraId="5F78C042" w14:textId="77777777" w:rsidR="00D84031" w:rsidRDefault="007965BB">
            <w:pPr>
              <w:pStyle w:val="CellTextValue"/>
            </w:pPr>
            <w:r>
              <w:t>3</w:t>
            </w:r>
          </w:p>
        </w:tc>
      </w:tr>
      <w:tr w:rsidR="00D84031" w14:paraId="170FA962" w14:textId="77777777">
        <w:tc>
          <w:tcPr>
            <w:tcW w:w="0" w:type="auto"/>
          </w:tcPr>
          <w:p w14:paraId="2E9B4622" w14:textId="77777777" w:rsidR="00D84031" w:rsidRDefault="007965BB">
            <w:pPr>
              <w:pStyle w:val="CellTextValue"/>
            </w:pPr>
            <w:r>
              <w:t>HORIZON-CL2-2027-01-DEMOCRACY-07: The role of private companies in democracy</w:t>
            </w:r>
          </w:p>
        </w:tc>
        <w:tc>
          <w:tcPr>
            <w:tcW w:w="0" w:type="auto"/>
          </w:tcPr>
          <w:p w14:paraId="15DE5182" w14:textId="77777777" w:rsidR="00D84031" w:rsidRDefault="007965BB">
            <w:pPr>
              <w:pStyle w:val="CellTextValue"/>
            </w:pPr>
            <w:r>
              <w:t>RIA</w:t>
            </w:r>
          </w:p>
        </w:tc>
        <w:tc>
          <w:tcPr>
            <w:tcW w:w="0" w:type="auto"/>
            <w:vMerge w:val="restart"/>
          </w:tcPr>
          <w:p w14:paraId="0CE9A2D3" w14:textId="77777777" w:rsidR="00D84031" w:rsidRDefault="007965BB">
            <w:pPr>
              <w:pStyle w:val="CellTextValue"/>
            </w:pPr>
            <w:r>
              <w:t>8.00</w:t>
            </w:r>
          </w:p>
        </w:tc>
        <w:tc>
          <w:tcPr>
            <w:tcW w:w="0" w:type="auto"/>
          </w:tcPr>
          <w:p w14:paraId="7A182DC6" w14:textId="77777777" w:rsidR="00D84031" w:rsidRDefault="007965BB">
            <w:pPr>
              <w:pStyle w:val="CellTextValue"/>
            </w:pPr>
            <w:r>
              <w:t>3.50 to 4.00</w:t>
            </w:r>
          </w:p>
        </w:tc>
        <w:tc>
          <w:tcPr>
            <w:tcW w:w="0" w:type="auto"/>
          </w:tcPr>
          <w:p w14:paraId="0CA0FCD2" w14:textId="77777777" w:rsidR="00D84031" w:rsidRDefault="007965BB">
            <w:pPr>
              <w:pStyle w:val="CellTextValue"/>
            </w:pPr>
            <w:r>
              <w:t>2</w:t>
            </w:r>
          </w:p>
        </w:tc>
      </w:tr>
      <w:tr w:rsidR="00D84031" w14:paraId="0AEF1CBC" w14:textId="77777777">
        <w:tc>
          <w:tcPr>
            <w:tcW w:w="0" w:type="auto"/>
          </w:tcPr>
          <w:p w14:paraId="4EE1C4B4" w14:textId="77777777" w:rsidR="00D84031" w:rsidRDefault="007965BB">
            <w:pPr>
              <w:pStyle w:val="CellTextValue"/>
            </w:pPr>
            <w:r>
              <w:t xml:space="preserve">HORIZON-CL2-2027-01-DEMOCRACY-08: Global Human Rights and EU values </w:t>
            </w:r>
          </w:p>
        </w:tc>
        <w:tc>
          <w:tcPr>
            <w:tcW w:w="0" w:type="auto"/>
          </w:tcPr>
          <w:p w14:paraId="46441EC2" w14:textId="77777777" w:rsidR="00D84031" w:rsidRDefault="007965BB">
            <w:pPr>
              <w:pStyle w:val="CellTextValue"/>
            </w:pPr>
            <w:r>
              <w:t>RIA</w:t>
            </w:r>
          </w:p>
        </w:tc>
        <w:tc>
          <w:tcPr>
            <w:tcW w:w="0" w:type="auto"/>
            <w:vMerge w:val="restart"/>
          </w:tcPr>
          <w:p w14:paraId="3E5CCB7F" w14:textId="77777777" w:rsidR="00D84031" w:rsidRDefault="007965BB">
            <w:pPr>
              <w:pStyle w:val="CellTextValue"/>
            </w:pPr>
            <w:r>
              <w:t>12.00</w:t>
            </w:r>
          </w:p>
        </w:tc>
        <w:tc>
          <w:tcPr>
            <w:tcW w:w="0" w:type="auto"/>
          </w:tcPr>
          <w:p w14:paraId="08F7AADF" w14:textId="77777777" w:rsidR="00D84031" w:rsidRDefault="007965BB">
            <w:pPr>
              <w:pStyle w:val="CellTextValue"/>
            </w:pPr>
            <w:r>
              <w:t>3.50 to 4.00</w:t>
            </w:r>
          </w:p>
        </w:tc>
        <w:tc>
          <w:tcPr>
            <w:tcW w:w="0" w:type="auto"/>
          </w:tcPr>
          <w:p w14:paraId="2062D76C" w14:textId="77777777" w:rsidR="00D84031" w:rsidRDefault="007965BB">
            <w:pPr>
              <w:pStyle w:val="CellTextValue"/>
            </w:pPr>
            <w:r>
              <w:t>3</w:t>
            </w:r>
          </w:p>
        </w:tc>
      </w:tr>
      <w:tr w:rsidR="00C62CF4" w14:paraId="4E6A6EF7" w14:textId="77777777" w:rsidTr="00C62CF4">
        <w:tc>
          <w:tcPr>
            <w:tcW w:w="0" w:type="auto"/>
            <w:gridSpan w:val="5"/>
          </w:tcPr>
          <w:p w14:paraId="122E0B40" w14:textId="77777777" w:rsidR="00D84031" w:rsidRDefault="007965BB">
            <w:pPr>
              <w:pStyle w:val="CellTextValue"/>
            </w:pPr>
            <w:r>
              <w:t>Destination Innovative Research on European Cultural Heritage and Cultural and Creative Industries</w:t>
            </w:r>
          </w:p>
        </w:tc>
      </w:tr>
      <w:tr w:rsidR="00D84031" w14:paraId="33E2DFC0" w14:textId="77777777">
        <w:tc>
          <w:tcPr>
            <w:tcW w:w="0" w:type="auto"/>
          </w:tcPr>
          <w:p w14:paraId="642FCD80" w14:textId="77777777" w:rsidR="00D84031" w:rsidRDefault="007965BB">
            <w:pPr>
              <w:pStyle w:val="CellTextValue"/>
            </w:pPr>
            <w:r>
              <w:t>HORIZON-CL2-2027-01-HERITAGE-01: Towards a consolidated culture and creativity driven European innovation ecosystem</w:t>
            </w:r>
          </w:p>
        </w:tc>
        <w:tc>
          <w:tcPr>
            <w:tcW w:w="0" w:type="auto"/>
          </w:tcPr>
          <w:p w14:paraId="18EB8430" w14:textId="77777777" w:rsidR="00D84031" w:rsidRDefault="007965BB">
            <w:pPr>
              <w:pStyle w:val="CellTextValue"/>
            </w:pPr>
            <w:r>
              <w:t>CSA</w:t>
            </w:r>
          </w:p>
        </w:tc>
        <w:tc>
          <w:tcPr>
            <w:tcW w:w="0" w:type="auto"/>
            <w:vMerge w:val="restart"/>
          </w:tcPr>
          <w:p w14:paraId="1E3AF35E" w14:textId="77777777" w:rsidR="00D84031" w:rsidRDefault="007965BB">
            <w:pPr>
              <w:pStyle w:val="CellTextValue"/>
            </w:pPr>
            <w:r>
              <w:t>5.00</w:t>
            </w:r>
          </w:p>
        </w:tc>
        <w:tc>
          <w:tcPr>
            <w:tcW w:w="0" w:type="auto"/>
          </w:tcPr>
          <w:p w14:paraId="56970D07" w14:textId="77777777" w:rsidR="00D84031" w:rsidRDefault="007965BB">
            <w:pPr>
              <w:pStyle w:val="CellTextValue"/>
            </w:pPr>
            <w:r>
              <w:t>Around 5.00</w:t>
            </w:r>
          </w:p>
        </w:tc>
        <w:tc>
          <w:tcPr>
            <w:tcW w:w="0" w:type="auto"/>
          </w:tcPr>
          <w:p w14:paraId="7BDBA200" w14:textId="77777777" w:rsidR="00D84031" w:rsidRDefault="007965BB">
            <w:pPr>
              <w:pStyle w:val="CellTextValue"/>
            </w:pPr>
            <w:r>
              <w:t>1</w:t>
            </w:r>
          </w:p>
        </w:tc>
      </w:tr>
      <w:tr w:rsidR="00D84031" w14:paraId="37AE65BC" w14:textId="77777777">
        <w:tc>
          <w:tcPr>
            <w:tcW w:w="0" w:type="auto"/>
          </w:tcPr>
          <w:p w14:paraId="21AE8512" w14:textId="77777777" w:rsidR="00D84031" w:rsidRDefault="007965BB">
            <w:pPr>
              <w:pStyle w:val="CellTextValue"/>
            </w:pPr>
            <w:r>
              <w:t xml:space="preserve">HORIZON-CL2-2027-01-HERITAGE-02: AI4Creatives Support Platform: embracing a fair AI revolution </w:t>
            </w:r>
          </w:p>
        </w:tc>
        <w:tc>
          <w:tcPr>
            <w:tcW w:w="0" w:type="auto"/>
          </w:tcPr>
          <w:p w14:paraId="3F33BF7B" w14:textId="77777777" w:rsidR="00D84031" w:rsidRDefault="007965BB">
            <w:pPr>
              <w:pStyle w:val="CellTextValue"/>
            </w:pPr>
            <w:r>
              <w:t>CSA</w:t>
            </w:r>
          </w:p>
        </w:tc>
        <w:tc>
          <w:tcPr>
            <w:tcW w:w="0" w:type="auto"/>
            <w:vMerge w:val="restart"/>
          </w:tcPr>
          <w:p w14:paraId="3F45B783" w14:textId="77777777" w:rsidR="00D84031" w:rsidRDefault="007965BB">
            <w:pPr>
              <w:pStyle w:val="CellTextValue"/>
            </w:pPr>
            <w:r>
              <w:t>5.00</w:t>
            </w:r>
          </w:p>
        </w:tc>
        <w:tc>
          <w:tcPr>
            <w:tcW w:w="0" w:type="auto"/>
          </w:tcPr>
          <w:p w14:paraId="709DF0A8" w14:textId="77777777" w:rsidR="00D84031" w:rsidRDefault="007965BB">
            <w:pPr>
              <w:pStyle w:val="CellTextValue"/>
            </w:pPr>
            <w:r>
              <w:t>4.50 to 5.00</w:t>
            </w:r>
          </w:p>
        </w:tc>
        <w:tc>
          <w:tcPr>
            <w:tcW w:w="0" w:type="auto"/>
          </w:tcPr>
          <w:p w14:paraId="76265597" w14:textId="77777777" w:rsidR="00D84031" w:rsidRDefault="007965BB">
            <w:pPr>
              <w:pStyle w:val="CellTextValue"/>
            </w:pPr>
            <w:r>
              <w:t>1</w:t>
            </w:r>
          </w:p>
        </w:tc>
      </w:tr>
      <w:tr w:rsidR="00D84031" w14:paraId="7717743B" w14:textId="77777777">
        <w:tc>
          <w:tcPr>
            <w:tcW w:w="0" w:type="auto"/>
          </w:tcPr>
          <w:p w14:paraId="3881BC15" w14:textId="77777777" w:rsidR="00D84031" w:rsidRDefault="007965BB">
            <w:pPr>
              <w:pStyle w:val="CellTextValue"/>
            </w:pPr>
            <w:r>
              <w:t>HORIZON-CL2-2027-01-HERITAGE-03: Crafting routes to a circular economy</w:t>
            </w:r>
          </w:p>
        </w:tc>
        <w:tc>
          <w:tcPr>
            <w:tcW w:w="0" w:type="auto"/>
          </w:tcPr>
          <w:p w14:paraId="641942D9" w14:textId="77777777" w:rsidR="00D84031" w:rsidRDefault="007965BB">
            <w:pPr>
              <w:pStyle w:val="CellTextValue"/>
            </w:pPr>
            <w:r>
              <w:t>RIA</w:t>
            </w:r>
          </w:p>
        </w:tc>
        <w:tc>
          <w:tcPr>
            <w:tcW w:w="0" w:type="auto"/>
            <w:vMerge w:val="restart"/>
          </w:tcPr>
          <w:p w14:paraId="38267B24" w14:textId="77777777" w:rsidR="00D84031" w:rsidRDefault="007965BB">
            <w:pPr>
              <w:pStyle w:val="CellTextValue"/>
            </w:pPr>
            <w:r>
              <w:t>10.50</w:t>
            </w:r>
          </w:p>
        </w:tc>
        <w:tc>
          <w:tcPr>
            <w:tcW w:w="0" w:type="auto"/>
          </w:tcPr>
          <w:p w14:paraId="374ED4AB" w14:textId="77777777" w:rsidR="00D84031" w:rsidRDefault="007965BB">
            <w:pPr>
              <w:pStyle w:val="CellTextValue"/>
            </w:pPr>
            <w:r>
              <w:t>3.00 to 3.50</w:t>
            </w:r>
          </w:p>
        </w:tc>
        <w:tc>
          <w:tcPr>
            <w:tcW w:w="0" w:type="auto"/>
          </w:tcPr>
          <w:p w14:paraId="66416DA0" w14:textId="77777777" w:rsidR="00D84031" w:rsidRDefault="007965BB">
            <w:pPr>
              <w:pStyle w:val="CellTextValue"/>
            </w:pPr>
            <w:r>
              <w:t>3</w:t>
            </w:r>
          </w:p>
        </w:tc>
      </w:tr>
      <w:tr w:rsidR="00D84031" w14:paraId="6F7602B7" w14:textId="77777777">
        <w:tc>
          <w:tcPr>
            <w:tcW w:w="0" w:type="auto"/>
          </w:tcPr>
          <w:p w14:paraId="59D2E4DB" w14:textId="77777777" w:rsidR="00D84031" w:rsidRDefault="007965BB">
            <w:pPr>
              <w:pStyle w:val="CellTextValue"/>
            </w:pPr>
            <w:r>
              <w:t>HORIZON-CL2-2027-01-HERITAGE-04: Culture, heritage and creative industries for health and well-being</w:t>
            </w:r>
          </w:p>
        </w:tc>
        <w:tc>
          <w:tcPr>
            <w:tcW w:w="0" w:type="auto"/>
          </w:tcPr>
          <w:p w14:paraId="0AA29548" w14:textId="77777777" w:rsidR="00D84031" w:rsidRDefault="007965BB">
            <w:pPr>
              <w:pStyle w:val="CellTextValue"/>
            </w:pPr>
            <w:r>
              <w:t>RIA</w:t>
            </w:r>
          </w:p>
        </w:tc>
        <w:tc>
          <w:tcPr>
            <w:tcW w:w="0" w:type="auto"/>
            <w:vMerge w:val="restart"/>
          </w:tcPr>
          <w:p w14:paraId="1A4597F7" w14:textId="77777777" w:rsidR="00D84031" w:rsidRDefault="007965BB">
            <w:pPr>
              <w:pStyle w:val="CellTextValue"/>
            </w:pPr>
            <w:r>
              <w:t>16.00</w:t>
            </w:r>
          </w:p>
        </w:tc>
        <w:tc>
          <w:tcPr>
            <w:tcW w:w="0" w:type="auto"/>
          </w:tcPr>
          <w:p w14:paraId="7AE3AA08" w14:textId="77777777" w:rsidR="00D84031" w:rsidRDefault="007965BB">
            <w:pPr>
              <w:pStyle w:val="CellTextValue"/>
            </w:pPr>
            <w:r>
              <w:t>3.00 to 4.00</w:t>
            </w:r>
          </w:p>
        </w:tc>
        <w:tc>
          <w:tcPr>
            <w:tcW w:w="0" w:type="auto"/>
          </w:tcPr>
          <w:p w14:paraId="0AFEE3CE" w14:textId="77777777" w:rsidR="00D84031" w:rsidRDefault="007965BB">
            <w:pPr>
              <w:pStyle w:val="CellTextValue"/>
            </w:pPr>
            <w:r>
              <w:t>4</w:t>
            </w:r>
          </w:p>
        </w:tc>
      </w:tr>
      <w:tr w:rsidR="00D84031" w14:paraId="4A9A9234" w14:textId="77777777">
        <w:tc>
          <w:tcPr>
            <w:tcW w:w="0" w:type="auto"/>
          </w:tcPr>
          <w:p w14:paraId="1D531F1E" w14:textId="77777777" w:rsidR="00D84031" w:rsidRDefault="007965BB">
            <w:pPr>
              <w:pStyle w:val="CellTextValue"/>
            </w:pPr>
            <w:r>
              <w:t xml:space="preserve">HORIZON-CL2-2027-01-HERITAGE-05: Re-imagining the creative economy: the interplay between the cultural and creative sectors and industries and the social </w:t>
            </w:r>
            <w:r>
              <w:t>economy</w:t>
            </w:r>
          </w:p>
        </w:tc>
        <w:tc>
          <w:tcPr>
            <w:tcW w:w="0" w:type="auto"/>
          </w:tcPr>
          <w:p w14:paraId="18DD8676" w14:textId="77777777" w:rsidR="00D84031" w:rsidRDefault="007965BB">
            <w:pPr>
              <w:pStyle w:val="CellTextValue"/>
            </w:pPr>
            <w:r>
              <w:t>RIA</w:t>
            </w:r>
          </w:p>
        </w:tc>
        <w:tc>
          <w:tcPr>
            <w:tcW w:w="0" w:type="auto"/>
            <w:vMerge w:val="restart"/>
          </w:tcPr>
          <w:p w14:paraId="057C1810" w14:textId="77777777" w:rsidR="00D84031" w:rsidRDefault="007965BB">
            <w:pPr>
              <w:pStyle w:val="CellTextValue"/>
            </w:pPr>
            <w:r>
              <w:t>10.50</w:t>
            </w:r>
          </w:p>
        </w:tc>
        <w:tc>
          <w:tcPr>
            <w:tcW w:w="0" w:type="auto"/>
          </w:tcPr>
          <w:p w14:paraId="04B3E453" w14:textId="77777777" w:rsidR="00D84031" w:rsidRDefault="007965BB">
            <w:pPr>
              <w:pStyle w:val="CellTextValue"/>
            </w:pPr>
            <w:r>
              <w:t>3.00 to 3.50</w:t>
            </w:r>
          </w:p>
        </w:tc>
        <w:tc>
          <w:tcPr>
            <w:tcW w:w="0" w:type="auto"/>
          </w:tcPr>
          <w:p w14:paraId="044AF4B6" w14:textId="77777777" w:rsidR="00D84031" w:rsidRDefault="007965BB">
            <w:pPr>
              <w:pStyle w:val="CellTextValue"/>
            </w:pPr>
            <w:r>
              <w:t>3</w:t>
            </w:r>
          </w:p>
        </w:tc>
      </w:tr>
      <w:tr w:rsidR="00D84031" w14:paraId="009DD49E" w14:textId="77777777">
        <w:tc>
          <w:tcPr>
            <w:tcW w:w="0" w:type="auto"/>
          </w:tcPr>
          <w:p w14:paraId="26E7B58D" w14:textId="77777777" w:rsidR="00D84031" w:rsidRDefault="007965BB">
            <w:pPr>
              <w:pStyle w:val="CellTextValue"/>
            </w:pPr>
            <w:r>
              <w:t>HORIZON-CL2-2027-01-HERITAGE-06: Future-proofing sustainable cultural tourism</w:t>
            </w:r>
          </w:p>
        </w:tc>
        <w:tc>
          <w:tcPr>
            <w:tcW w:w="0" w:type="auto"/>
          </w:tcPr>
          <w:p w14:paraId="222CA1D7" w14:textId="77777777" w:rsidR="00D84031" w:rsidRDefault="007965BB">
            <w:pPr>
              <w:pStyle w:val="CellTextValue"/>
            </w:pPr>
            <w:r>
              <w:t>RIA</w:t>
            </w:r>
          </w:p>
        </w:tc>
        <w:tc>
          <w:tcPr>
            <w:tcW w:w="0" w:type="auto"/>
            <w:vMerge w:val="restart"/>
          </w:tcPr>
          <w:p w14:paraId="254970C0" w14:textId="77777777" w:rsidR="00D84031" w:rsidRDefault="007965BB">
            <w:pPr>
              <w:pStyle w:val="CellTextValue"/>
            </w:pPr>
            <w:r>
              <w:t>14.50</w:t>
            </w:r>
          </w:p>
        </w:tc>
        <w:tc>
          <w:tcPr>
            <w:tcW w:w="0" w:type="auto"/>
          </w:tcPr>
          <w:p w14:paraId="0D773FB5" w14:textId="77777777" w:rsidR="00D84031" w:rsidRDefault="007965BB">
            <w:pPr>
              <w:pStyle w:val="CellTextValue"/>
            </w:pPr>
            <w:r>
              <w:t>4.00 to 4.80</w:t>
            </w:r>
          </w:p>
        </w:tc>
        <w:tc>
          <w:tcPr>
            <w:tcW w:w="0" w:type="auto"/>
          </w:tcPr>
          <w:p w14:paraId="32D3C0F2" w14:textId="77777777" w:rsidR="00D84031" w:rsidRDefault="007965BB">
            <w:pPr>
              <w:pStyle w:val="CellTextValue"/>
            </w:pPr>
            <w:r>
              <w:t>3</w:t>
            </w:r>
          </w:p>
        </w:tc>
      </w:tr>
      <w:tr w:rsidR="00D84031" w14:paraId="516D9C03" w14:textId="77777777">
        <w:tc>
          <w:tcPr>
            <w:tcW w:w="0" w:type="auto"/>
          </w:tcPr>
          <w:p w14:paraId="41F25690" w14:textId="77777777" w:rsidR="00D84031" w:rsidRDefault="007965BB">
            <w:pPr>
              <w:pStyle w:val="CellTextValue"/>
            </w:pPr>
            <w:r>
              <w:t>HORIZON-CL2-2027-01-HERITAGE-07: Societal impact of cultural heritage</w:t>
            </w:r>
          </w:p>
        </w:tc>
        <w:tc>
          <w:tcPr>
            <w:tcW w:w="0" w:type="auto"/>
          </w:tcPr>
          <w:p w14:paraId="08EFAFC1" w14:textId="77777777" w:rsidR="00D84031" w:rsidRDefault="007965BB">
            <w:pPr>
              <w:pStyle w:val="CellTextValue"/>
            </w:pPr>
            <w:r>
              <w:t>RIA</w:t>
            </w:r>
          </w:p>
        </w:tc>
        <w:tc>
          <w:tcPr>
            <w:tcW w:w="0" w:type="auto"/>
            <w:vMerge w:val="restart"/>
          </w:tcPr>
          <w:p w14:paraId="6E362B18" w14:textId="77777777" w:rsidR="00D84031" w:rsidRDefault="007965BB">
            <w:pPr>
              <w:pStyle w:val="CellTextValue"/>
            </w:pPr>
            <w:r>
              <w:t>15.00</w:t>
            </w:r>
          </w:p>
        </w:tc>
        <w:tc>
          <w:tcPr>
            <w:tcW w:w="0" w:type="auto"/>
          </w:tcPr>
          <w:p w14:paraId="2F202976" w14:textId="77777777" w:rsidR="00D84031" w:rsidRDefault="007965BB">
            <w:pPr>
              <w:pStyle w:val="CellTextValue"/>
            </w:pPr>
            <w:r>
              <w:t>2.50 to 3.00</w:t>
            </w:r>
          </w:p>
        </w:tc>
        <w:tc>
          <w:tcPr>
            <w:tcW w:w="0" w:type="auto"/>
          </w:tcPr>
          <w:p w14:paraId="7FE36383" w14:textId="77777777" w:rsidR="00D84031" w:rsidRDefault="007965BB">
            <w:pPr>
              <w:pStyle w:val="CellTextValue"/>
            </w:pPr>
            <w:r>
              <w:t>5</w:t>
            </w:r>
          </w:p>
        </w:tc>
      </w:tr>
      <w:tr w:rsidR="00D84031" w14:paraId="150450EF" w14:textId="77777777">
        <w:tc>
          <w:tcPr>
            <w:tcW w:w="0" w:type="auto"/>
          </w:tcPr>
          <w:p w14:paraId="75071001" w14:textId="77777777" w:rsidR="00D84031" w:rsidRDefault="007965BB">
            <w:pPr>
              <w:pStyle w:val="CellTextValue"/>
            </w:pPr>
            <w:r>
              <w:t>HORIZON-CL2-2027-01-HERITAGE-08: Safeguarding &amp; transmission of intangible cultural heritage</w:t>
            </w:r>
          </w:p>
        </w:tc>
        <w:tc>
          <w:tcPr>
            <w:tcW w:w="0" w:type="auto"/>
          </w:tcPr>
          <w:p w14:paraId="2AFDEC4D" w14:textId="77777777" w:rsidR="00D84031" w:rsidRDefault="007965BB">
            <w:pPr>
              <w:pStyle w:val="CellTextValue"/>
            </w:pPr>
            <w:r>
              <w:t>RIA</w:t>
            </w:r>
          </w:p>
        </w:tc>
        <w:tc>
          <w:tcPr>
            <w:tcW w:w="0" w:type="auto"/>
            <w:vMerge w:val="restart"/>
          </w:tcPr>
          <w:p w14:paraId="6A5F1C36" w14:textId="77777777" w:rsidR="00D84031" w:rsidRDefault="007965BB">
            <w:pPr>
              <w:pStyle w:val="CellTextValue"/>
            </w:pPr>
            <w:r>
              <w:t>12.00</w:t>
            </w:r>
          </w:p>
        </w:tc>
        <w:tc>
          <w:tcPr>
            <w:tcW w:w="0" w:type="auto"/>
          </w:tcPr>
          <w:p w14:paraId="5DCA4671" w14:textId="77777777" w:rsidR="00D84031" w:rsidRDefault="007965BB">
            <w:pPr>
              <w:pStyle w:val="CellTextValue"/>
            </w:pPr>
            <w:r>
              <w:t>3.00 to 4.00</w:t>
            </w:r>
          </w:p>
        </w:tc>
        <w:tc>
          <w:tcPr>
            <w:tcW w:w="0" w:type="auto"/>
          </w:tcPr>
          <w:p w14:paraId="33FD3C70" w14:textId="77777777" w:rsidR="00D84031" w:rsidRDefault="007965BB">
            <w:pPr>
              <w:pStyle w:val="CellTextValue"/>
            </w:pPr>
            <w:r>
              <w:t>3</w:t>
            </w:r>
          </w:p>
        </w:tc>
      </w:tr>
      <w:tr w:rsidR="00C62CF4" w14:paraId="6A2E066B" w14:textId="77777777" w:rsidTr="00C62CF4">
        <w:tc>
          <w:tcPr>
            <w:tcW w:w="0" w:type="auto"/>
            <w:gridSpan w:val="5"/>
          </w:tcPr>
          <w:p w14:paraId="61A195CC" w14:textId="77777777" w:rsidR="00D84031" w:rsidRDefault="007965BB">
            <w:pPr>
              <w:pStyle w:val="CellTextValue"/>
            </w:pPr>
            <w:r>
              <w:lastRenderedPageBreak/>
              <w:t>Destination Innovative Research on Social and Economic Transformations</w:t>
            </w:r>
          </w:p>
        </w:tc>
      </w:tr>
      <w:tr w:rsidR="00D84031" w14:paraId="4BDF6021" w14:textId="77777777">
        <w:tc>
          <w:tcPr>
            <w:tcW w:w="0" w:type="auto"/>
          </w:tcPr>
          <w:p w14:paraId="02B916DC" w14:textId="77777777" w:rsidR="00D84031" w:rsidRDefault="007965BB">
            <w:pPr>
              <w:pStyle w:val="CellTextValue"/>
            </w:pPr>
            <w:r>
              <w:t xml:space="preserve">HORIZON-CL2-2027-01-TRANSFO-01: How does access to nature-positive </w:t>
            </w:r>
            <w:r>
              <w:t>environments promote social cohesion and reduce inequalities in urban and peri-urban settings?</w:t>
            </w:r>
          </w:p>
        </w:tc>
        <w:tc>
          <w:tcPr>
            <w:tcW w:w="0" w:type="auto"/>
          </w:tcPr>
          <w:p w14:paraId="11AE9D30" w14:textId="77777777" w:rsidR="00D84031" w:rsidRDefault="007965BB">
            <w:pPr>
              <w:pStyle w:val="CellTextValue"/>
            </w:pPr>
            <w:r>
              <w:t>RIA</w:t>
            </w:r>
          </w:p>
        </w:tc>
        <w:tc>
          <w:tcPr>
            <w:tcW w:w="0" w:type="auto"/>
            <w:vMerge w:val="restart"/>
          </w:tcPr>
          <w:p w14:paraId="72D0F4CE" w14:textId="77777777" w:rsidR="00D84031" w:rsidRDefault="007965BB">
            <w:pPr>
              <w:pStyle w:val="CellTextValue"/>
            </w:pPr>
            <w:r>
              <w:t>12.00</w:t>
            </w:r>
          </w:p>
        </w:tc>
        <w:tc>
          <w:tcPr>
            <w:tcW w:w="0" w:type="auto"/>
          </w:tcPr>
          <w:p w14:paraId="554C86C9" w14:textId="77777777" w:rsidR="00D84031" w:rsidRDefault="007965BB">
            <w:pPr>
              <w:pStyle w:val="CellTextValue"/>
            </w:pPr>
            <w:r>
              <w:t>3.00 to 4.00</w:t>
            </w:r>
          </w:p>
        </w:tc>
        <w:tc>
          <w:tcPr>
            <w:tcW w:w="0" w:type="auto"/>
          </w:tcPr>
          <w:p w14:paraId="73DBA1E9" w14:textId="77777777" w:rsidR="00D84031" w:rsidRDefault="007965BB">
            <w:pPr>
              <w:pStyle w:val="CellTextValue"/>
            </w:pPr>
            <w:r>
              <w:t>3</w:t>
            </w:r>
          </w:p>
        </w:tc>
      </w:tr>
      <w:tr w:rsidR="00D84031" w14:paraId="73682C86" w14:textId="77777777">
        <w:tc>
          <w:tcPr>
            <w:tcW w:w="0" w:type="auto"/>
          </w:tcPr>
          <w:p w14:paraId="5377AED3" w14:textId="77777777" w:rsidR="00D84031" w:rsidRDefault="007965BB">
            <w:pPr>
              <w:pStyle w:val="CellTextValue"/>
            </w:pPr>
            <w:r>
              <w:t>HORIZON-CL2-2027-01-TRANSFO-02: Impact of in-kind benefits on income distribution and on vulnerable populations</w:t>
            </w:r>
          </w:p>
        </w:tc>
        <w:tc>
          <w:tcPr>
            <w:tcW w:w="0" w:type="auto"/>
          </w:tcPr>
          <w:p w14:paraId="317AB084" w14:textId="77777777" w:rsidR="00D84031" w:rsidRDefault="007965BB">
            <w:pPr>
              <w:pStyle w:val="CellTextValue"/>
            </w:pPr>
            <w:r>
              <w:t>RIA</w:t>
            </w:r>
          </w:p>
        </w:tc>
        <w:tc>
          <w:tcPr>
            <w:tcW w:w="0" w:type="auto"/>
            <w:vMerge w:val="restart"/>
          </w:tcPr>
          <w:p w14:paraId="4AD285F4" w14:textId="77777777" w:rsidR="00D84031" w:rsidRDefault="007965BB">
            <w:pPr>
              <w:pStyle w:val="CellTextValue"/>
            </w:pPr>
            <w:r>
              <w:t>10.00</w:t>
            </w:r>
          </w:p>
        </w:tc>
        <w:tc>
          <w:tcPr>
            <w:tcW w:w="0" w:type="auto"/>
          </w:tcPr>
          <w:p w14:paraId="0969BEDB" w14:textId="77777777" w:rsidR="00D84031" w:rsidRDefault="007965BB">
            <w:pPr>
              <w:pStyle w:val="CellTextValue"/>
            </w:pPr>
            <w:r>
              <w:t xml:space="preserve">3.00 to </w:t>
            </w:r>
            <w:r>
              <w:t>3.30</w:t>
            </w:r>
          </w:p>
        </w:tc>
        <w:tc>
          <w:tcPr>
            <w:tcW w:w="0" w:type="auto"/>
          </w:tcPr>
          <w:p w14:paraId="38CB8989" w14:textId="77777777" w:rsidR="00D84031" w:rsidRDefault="007965BB">
            <w:pPr>
              <w:pStyle w:val="CellTextValue"/>
            </w:pPr>
            <w:r>
              <w:t>3</w:t>
            </w:r>
          </w:p>
        </w:tc>
      </w:tr>
      <w:tr w:rsidR="00D84031" w14:paraId="74BE0153" w14:textId="77777777">
        <w:tc>
          <w:tcPr>
            <w:tcW w:w="0" w:type="auto"/>
          </w:tcPr>
          <w:p w14:paraId="7E811620" w14:textId="77777777" w:rsidR="00D84031" w:rsidRDefault="007965BB">
            <w:pPr>
              <w:pStyle w:val="CellTextValue"/>
            </w:pPr>
            <w:r>
              <w:t>HORIZON-CL2-2027-01-TRANSFO-03: Rethinking sustainable competitiveness beyond traditional perspectives: role and contribution of the Social Economy</w:t>
            </w:r>
          </w:p>
        </w:tc>
        <w:tc>
          <w:tcPr>
            <w:tcW w:w="0" w:type="auto"/>
          </w:tcPr>
          <w:p w14:paraId="393AB6CC" w14:textId="77777777" w:rsidR="00D84031" w:rsidRDefault="007965BB">
            <w:pPr>
              <w:pStyle w:val="CellTextValue"/>
            </w:pPr>
            <w:r>
              <w:t>RIA</w:t>
            </w:r>
          </w:p>
        </w:tc>
        <w:tc>
          <w:tcPr>
            <w:tcW w:w="0" w:type="auto"/>
            <w:vMerge w:val="restart"/>
          </w:tcPr>
          <w:p w14:paraId="1C837C9D" w14:textId="77777777" w:rsidR="00D84031" w:rsidRDefault="007965BB">
            <w:pPr>
              <w:pStyle w:val="CellTextValue"/>
            </w:pPr>
            <w:r>
              <w:t>12.00</w:t>
            </w:r>
          </w:p>
        </w:tc>
        <w:tc>
          <w:tcPr>
            <w:tcW w:w="0" w:type="auto"/>
          </w:tcPr>
          <w:p w14:paraId="7B5057F7" w14:textId="77777777" w:rsidR="00D84031" w:rsidRDefault="007965BB">
            <w:pPr>
              <w:pStyle w:val="CellTextValue"/>
            </w:pPr>
            <w:r>
              <w:t>3.00 to 4.00</w:t>
            </w:r>
          </w:p>
        </w:tc>
        <w:tc>
          <w:tcPr>
            <w:tcW w:w="0" w:type="auto"/>
          </w:tcPr>
          <w:p w14:paraId="544BA321" w14:textId="77777777" w:rsidR="00D84031" w:rsidRDefault="007965BB">
            <w:pPr>
              <w:pStyle w:val="CellTextValue"/>
            </w:pPr>
            <w:r>
              <w:t>3</w:t>
            </w:r>
          </w:p>
        </w:tc>
      </w:tr>
      <w:tr w:rsidR="00D84031" w14:paraId="4C743A99" w14:textId="77777777">
        <w:tc>
          <w:tcPr>
            <w:tcW w:w="0" w:type="auto"/>
          </w:tcPr>
          <w:p w14:paraId="3845D346" w14:textId="77777777" w:rsidR="00D84031" w:rsidRDefault="007965BB">
            <w:pPr>
              <w:pStyle w:val="CellTextValue"/>
            </w:pPr>
            <w:r>
              <w:t>HORIZON-CL2-2027-01-TRANSFO-04: The impact of EU labour mobility on the Member States of the EU</w:t>
            </w:r>
          </w:p>
        </w:tc>
        <w:tc>
          <w:tcPr>
            <w:tcW w:w="0" w:type="auto"/>
          </w:tcPr>
          <w:p w14:paraId="69C703A9" w14:textId="77777777" w:rsidR="00D84031" w:rsidRDefault="007965BB">
            <w:pPr>
              <w:pStyle w:val="CellTextValue"/>
            </w:pPr>
            <w:r>
              <w:t>RIA</w:t>
            </w:r>
          </w:p>
        </w:tc>
        <w:tc>
          <w:tcPr>
            <w:tcW w:w="0" w:type="auto"/>
            <w:vMerge w:val="restart"/>
          </w:tcPr>
          <w:p w14:paraId="12E4656E" w14:textId="77777777" w:rsidR="00D84031" w:rsidRDefault="007965BB">
            <w:pPr>
              <w:pStyle w:val="CellTextValue"/>
            </w:pPr>
            <w:r>
              <w:t>12.00</w:t>
            </w:r>
          </w:p>
        </w:tc>
        <w:tc>
          <w:tcPr>
            <w:tcW w:w="0" w:type="auto"/>
          </w:tcPr>
          <w:p w14:paraId="5F13EA2D" w14:textId="77777777" w:rsidR="00D84031" w:rsidRDefault="007965BB">
            <w:pPr>
              <w:pStyle w:val="CellTextValue"/>
            </w:pPr>
            <w:r>
              <w:t>3.00 to 4.00</w:t>
            </w:r>
          </w:p>
        </w:tc>
        <w:tc>
          <w:tcPr>
            <w:tcW w:w="0" w:type="auto"/>
          </w:tcPr>
          <w:p w14:paraId="1A0BA98D" w14:textId="77777777" w:rsidR="00D84031" w:rsidRDefault="007965BB">
            <w:pPr>
              <w:pStyle w:val="CellTextValue"/>
            </w:pPr>
            <w:r>
              <w:t>3</w:t>
            </w:r>
          </w:p>
        </w:tc>
      </w:tr>
      <w:tr w:rsidR="00D84031" w14:paraId="75061CBA" w14:textId="77777777">
        <w:tc>
          <w:tcPr>
            <w:tcW w:w="0" w:type="auto"/>
          </w:tcPr>
          <w:p w14:paraId="21F8D826" w14:textId="77777777" w:rsidR="00D84031" w:rsidRDefault="007965BB">
            <w:pPr>
              <w:pStyle w:val="CellTextValue"/>
            </w:pPr>
            <w:r>
              <w:t>HORIZON-CL2-2027-01-TRANSFO-05: The effective use of artificial intelligence in learning environments in pre-primary and primary education</w:t>
            </w:r>
          </w:p>
        </w:tc>
        <w:tc>
          <w:tcPr>
            <w:tcW w:w="0" w:type="auto"/>
          </w:tcPr>
          <w:p w14:paraId="6288F81A" w14:textId="77777777" w:rsidR="00D84031" w:rsidRDefault="007965BB">
            <w:pPr>
              <w:pStyle w:val="CellTextValue"/>
            </w:pPr>
            <w:r>
              <w:t>RIA</w:t>
            </w:r>
          </w:p>
        </w:tc>
        <w:tc>
          <w:tcPr>
            <w:tcW w:w="0" w:type="auto"/>
            <w:vMerge w:val="restart"/>
          </w:tcPr>
          <w:p w14:paraId="3BA2F688" w14:textId="77777777" w:rsidR="00D84031" w:rsidRDefault="007965BB">
            <w:pPr>
              <w:pStyle w:val="CellTextValue"/>
            </w:pPr>
            <w:r>
              <w:t>12.00</w:t>
            </w:r>
          </w:p>
        </w:tc>
        <w:tc>
          <w:tcPr>
            <w:tcW w:w="0" w:type="auto"/>
          </w:tcPr>
          <w:p w14:paraId="75D88742" w14:textId="77777777" w:rsidR="00D84031" w:rsidRDefault="007965BB">
            <w:pPr>
              <w:pStyle w:val="CellTextValue"/>
            </w:pPr>
            <w:r>
              <w:t>3.00 to 4.00</w:t>
            </w:r>
          </w:p>
        </w:tc>
        <w:tc>
          <w:tcPr>
            <w:tcW w:w="0" w:type="auto"/>
          </w:tcPr>
          <w:p w14:paraId="0EC9F69A" w14:textId="77777777" w:rsidR="00D84031" w:rsidRDefault="007965BB">
            <w:pPr>
              <w:pStyle w:val="CellTextValue"/>
            </w:pPr>
            <w:r>
              <w:t>3</w:t>
            </w:r>
          </w:p>
        </w:tc>
      </w:tr>
      <w:tr w:rsidR="00D84031" w14:paraId="60CB0C9D" w14:textId="77777777">
        <w:tc>
          <w:tcPr>
            <w:tcW w:w="0" w:type="auto"/>
          </w:tcPr>
          <w:p w14:paraId="068900E9" w14:textId="77777777" w:rsidR="00D84031" w:rsidRDefault="007965BB">
            <w:pPr>
              <w:pStyle w:val="CellTextValue"/>
            </w:pPr>
            <w:r>
              <w:t>HORIZON-CL2-2027-01-TRANSFO-06: Closing the learning gap: uncovering causes and effective policy interventions for declining youth skills in mathematics, reading, and science</w:t>
            </w:r>
          </w:p>
        </w:tc>
        <w:tc>
          <w:tcPr>
            <w:tcW w:w="0" w:type="auto"/>
          </w:tcPr>
          <w:p w14:paraId="50F4AF81" w14:textId="77777777" w:rsidR="00D84031" w:rsidRDefault="007965BB">
            <w:pPr>
              <w:pStyle w:val="CellTextValue"/>
            </w:pPr>
            <w:r>
              <w:t>RIA</w:t>
            </w:r>
          </w:p>
        </w:tc>
        <w:tc>
          <w:tcPr>
            <w:tcW w:w="0" w:type="auto"/>
            <w:vMerge w:val="restart"/>
          </w:tcPr>
          <w:p w14:paraId="55FDBEEE" w14:textId="77777777" w:rsidR="00D84031" w:rsidRDefault="007965BB">
            <w:pPr>
              <w:pStyle w:val="CellTextValue"/>
            </w:pPr>
            <w:r>
              <w:t>12.00</w:t>
            </w:r>
          </w:p>
        </w:tc>
        <w:tc>
          <w:tcPr>
            <w:tcW w:w="0" w:type="auto"/>
          </w:tcPr>
          <w:p w14:paraId="02928CDA" w14:textId="77777777" w:rsidR="00D84031" w:rsidRDefault="007965BB">
            <w:pPr>
              <w:pStyle w:val="CellTextValue"/>
            </w:pPr>
            <w:r>
              <w:t>3.00 to 4.00</w:t>
            </w:r>
          </w:p>
        </w:tc>
        <w:tc>
          <w:tcPr>
            <w:tcW w:w="0" w:type="auto"/>
          </w:tcPr>
          <w:p w14:paraId="4B32393F" w14:textId="77777777" w:rsidR="00D84031" w:rsidRDefault="007965BB">
            <w:pPr>
              <w:pStyle w:val="CellTextValue"/>
            </w:pPr>
            <w:r>
              <w:t>3</w:t>
            </w:r>
          </w:p>
        </w:tc>
      </w:tr>
      <w:tr w:rsidR="00D84031" w14:paraId="27A27855" w14:textId="77777777">
        <w:tc>
          <w:tcPr>
            <w:tcW w:w="0" w:type="auto"/>
          </w:tcPr>
          <w:p w14:paraId="68AFD500" w14:textId="77777777" w:rsidR="00D84031" w:rsidRDefault="007965BB">
            <w:pPr>
              <w:pStyle w:val="CellTextValue"/>
            </w:pPr>
            <w:r>
              <w:t>HORIZON-CL2-2027-01-TRANSFO-07: Persons with disabilities: opportunities for labour inclusion and social protection through the life course</w:t>
            </w:r>
          </w:p>
        </w:tc>
        <w:tc>
          <w:tcPr>
            <w:tcW w:w="0" w:type="auto"/>
          </w:tcPr>
          <w:p w14:paraId="3C8B4568" w14:textId="77777777" w:rsidR="00D84031" w:rsidRDefault="007965BB">
            <w:pPr>
              <w:pStyle w:val="CellTextValue"/>
            </w:pPr>
            <w:r>
              <w:t>RIA</w:t>
            </w:r>
          </w:p>
        </w:tc>
        <w:tc>
          <w:tcPr>
            <w:tcW w:w="0" w:type="auto"/>
            <w:vMerge w:val="restart"/>
          </w:tcPr>
          <w:p w14:paraId="45F2698B" w14:textId="77777777" w:rsidR="00D84031" w:rsidRDefault="007965BB">
            <w:pPr>
              <w:pStyle w:val="CellTextValue"/>
            </w:pPr>
            <w:r>
              <w:t>12.00</w:t>
            </w:r>
          </w:p>
        </w:tc>
        <w:tc>
          <w:tcPr>
            <w:tcW w:w="0" w:type="auto"/>
          </w:tcPr>
          <w:p w14:paraId="7FC7CD43" w14:textId="77777777" w:rsidR="00D84031" w:rsidRDefault="007965BB">
            <w:pPr>
              <w:pStyle w:val="CellTextValue"/>
            </w:pPr>
            <w:r>
              <w:t>3.00 to 4.00</w:t>
            </w:r>
          </w:p>
        </w:tc>
        <w:tc>
          <w:tcPr>
            <w:tcW w:w="0" w:type="auto"/>
          </w:tcPr>
          <w:p w14:paraId="2F1A8664" w14:textId="77777777" w:rsidR="00D84031" w:rsidRDefault="007965BB">
            <w:pPr>
              <w:pStyle w:val="CellTextValue"/>
            </w:pPr>
            <w:r>
              <w:t>3</w:t>
            </w:r>
          </w:p>
        </w:tc>
      </w:tr>
      <w:tr w:rsidR="00D84031" w14:paraId="0DA027FD" w14:textId="77777777">
        <w:tc>
          <w:tcPr>
            <w:tcW w:w="0" w:type="auto"/>
          </w:tcPr>
          <w:p w14:paraId="1EEF0BBB" w14:textId="77777777" w:rsidR="00D84031" w:rsidRDefault="007965BB">
            <w:pPr>
              <w:pStyle w:val="CellTextValue"/>
            </w:pPr>
            <w:r>
              <w:t>HORIZON-CL2-2027-01-TRANSFO-08: Scaling and deploying innovations in migration management</w:t>
            </w:r>
          </w:p>
        </w:tc>
        <w:tc>
          <w:tcPr>
            <w:tcW w:w="0" w:type="auto"/>
          </w:tcPr>
          <w:p w14:paraId="53A1B6E9" w14:textId="77777777" w:rsidR="00D84031" w:rsidRDefault="007965BB">
            <w:pPr>
              <w:pStyle w:val="CellTextValue"/>
            </w:pPr>
            <w:r>
              <w:t>IA</w:t>
            </w:r>
          </w:p>
        </w:tc>
        <w:tc>
          <w:tcPr>
            <w:tcW w:w="0" w:type="auto"/>
            <w:vMerge w:val="restart"/>
          </w:tcPr>
          <w:p w14:paraId="7DF2E866" w14:textId="77777777" w:rsidR="00D84031" w:rsidRDefault="007965BB">
            <w:pPr>
              <w:pStyle w:val="CellTextValue"/>
            </w:pPr>
            <w:r>
              <w:t>15.00</w:t>
            </w:r>
          </w:p>
        </w:tc>
        <w:tc>
          <w:tcPr>
            <w:tcW w:w="0" w:type="auto"/>
          </w:tcPr>
          <w:p w14:paraId="6ACA9680" w14:textId="77777777" w:rsidR="00D84031" w:rsidRDefault="007965BB">
            <w:pPr>
              <w:pStyle w:val="CellTextValue"/>
            </w:pPr>
            <w:r>
              <w:t>3.00 to 3.75</w:t>
            </w:r>
          </w:p>
        </w:tc>
        <w:tc>
          <w:tcPr>
            <w:tcW w:w="0" w:type="auto"/>
          </w:tcPr>
          <w:p w14:paraId="78FC99AB" w14:textId="77777777" w:rsidR="00D84031" w:rsidRDefault="007965BB">
            <w:pPr>
              <w:pStyle w:val="CellTextValue"/>
            </w:pPr>
            <w:r>
              <w:t>4</w:t>
            </w:r>
          </w:p>
        </w:tc>
      </w:tr>
      <w:tr w:rsidR="00D84031" w14:paraId="37E354C4" w14:textId="77777777">
        <w:tc>
          <w:tcPr>
            <w:tcW w:w="0" w:type="auto"/>
          </w:tcPr>
          <w:p w14:paraId="542AD9EB" w14:textId="77777777" w:rsidR="00D84031" w:rsidRDefault="007965BB">
            <w:pPr>
              <w:pStyle w:val="CellTextValue"/>
            </w:pPr>
            <w:r>
              <w:t xml:space="preserve">Overall indicative </w:t>
            </w:r>
            <w:r>
              <w:t>budget</w:t>
            </w:r>
          </w:p>
        </w:tc>
        <w:tc>
          <w:tcPr>
            <w:tcW w:w="0" w:type="auto"/>
          </w:tcPr>
          <w:p w14:paraId="0AF6F161" w14:textId="77777777" w:rsidR="00D84031" w:rsidRDefault="00D84031"/>
        </w:tc>
        <w:tc>
          <w:tcPr>
            <w:tcW w:w="0" w:type="auto"/>
          </w:tcPr>
          <w:p w14:paraId="3E96C405" w14:textId="77777777" w:rsidR="00D84031" w:rsidRDefault="007965BB">
            <w:pPr>
              <w:pStyle w:val="CellTextValue"/>
            </w:pPr>
            <w:r>
              <w:t>277.00</w:t>
            </w:r>
          </w:p>
        </w:tc>
        <w:tc>
          <w:tcPr>
            <w:tcW w:w="0" w:type="auto"/>
          </w:tcPr>
          <w:p w14:paraId="38EACCFB" w14:textId="77777777" w:rsidR="00D84031" w:rsidRDefault="00D84031"/>
        </w:tc>
        <w:tc>
          <w:tcPr>
            <w:tcW w:w="0" w:type="auto"/>
          </w:tcPr>
          <w:p w14:paraId="22C698DE" w14:textId="77777777" w:rsidR="00D84031" w:rsidRDefault="00D84031"/>
        </w:tc>
      </w:tr>
    </w:tbl>
    <w:p w14:paraId="2737AE0F" w14:textId="77777777" w:rsidR="00D84031" w:rsidRDefault="00D84031">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C62CF4" w14:paraId="6666DC42" w14:textId="77777777" w:rsidTr="00C62CF4">
        <w:tc>
          <w:tcPr>
            <w:tcW w:w="0" w:type="auto"/>
            <w:gridSpan w:val="2"/>
          </w:tcPr>
          <w:p w14:paraId="1E1D3A89" w14:textId="77777777" w:rsidR="00D84031" w:rsidRDefault="007965BB">
            <w:pPr>
              <w:pStyle w:val="CellTextValue"/>
            </w:pPr>
            <w:r>
              <w:rPr>
                <w:b/>
              </w:rPr>
              <w:t>General conditions relating to this call</w:t>
            </w:r>
          </w:p>
        </w:tc>
      </w:tr>
      <w:tr w:rsidR="00D84031" w14:paraId="1C5E4F6E" w14:textId="77777777">
        <w:tc>
          <w:tcPr>
            <w:tcW w:w="0" w:type="auto"/>
          </w:tcPr>
          <w:p w14:paraId="131CCFE2" w14:textId="77777777" w:rsidR="00D84031" w:rsidRDefault="007965BB">
            <w:pPr>
              <w:pStyle w:val="CellTextValue"/>
              <w:jc w:val="left"/>
            </w:pPr>
            <w:r>
              <w:rPr>
                <w:i/>
              </w:rPr>
              <w:t>Admissibility conditions</w:t>
            </w:r>
          </w:p>
        </w:tc>
        <w:tc>
          <w:tcPr>
            <w:tcW w:w="0" w:type="auto"/>
          </w:tcPr>
          <w:p w14:paraId="535FC6E6" w14:textId="77777777" w:rsidR="00D84031" w:rsidRDefault="007965BB">
            <w:pPr>
              <w:pStyle w:val="CellTextValue"/>
            </w:pPr>
            <w:r>
              <w:rPr>
                <w:color w:val="000000"/>
              </w:rPr>
              <w:t>The conditions are described in General Annex A.</w:t>
            </w:r>
          </w:p>
        </w:tc>
      </w:tr>
      <w:tr w:rsidR="00D84031" w14:paraId="43956BF7" w14:textId="77777777">
        <w:tc>
          <w:tcPr>
            <w:tcW w:w="0" w:type="auto"/>
          </w:tcPr>
          <w:p w14:paraId="6919FBAF" w14:textId="77777777" w:rsidR="00D84031" w:rsidRDefault="007965BB">
            <w:pPr>
              <w:pStyle w:val="CellTextValue"/>
              <w:jc w:val="left"/>
            </w:pPr>
            <w:r>
              <w:rPr>
                <w:i/>
              </w:rPr>
              <w:lastRenderedPageBreak/>
              <w:t>Eligibility conditions</w:t>
            </w:r>
          </w:p>
        </w:tc>
        <w:tc>
          <w:tcPr>
            <w:tcW w:w="0" w:type="auto"/>
          </w:tcPr>
          <w:p w14:paraId="24D968C7" w14:textId="77777777" w:rsidR="00D84031" w:rsidRDefault="007965BB">
            <w:pPr>
              <w:pStyle w:val="CellTextValue"/>
            </w:pPr>
            <w:r>
              <w:rPr>
                <w:color w:val="000000"/>
              </w:rPr>
              <w:t>The conditions are described in General Annex B.</w:t>
            </w:r>
          </w:p>
        </w:tc>
      </w:tr>
      <w:tr w:rsidR="00D84031" w14:paraId="535AEA29" w14:textId="77777777">
        <w:tc>
          <w:tcPr>
            <w:tcW w:w="0" w:type="auto"/>
          </w:tcPr>
          <w:p w14:paraId="565BBC1E" w14:textId="77777777" w:rsidR="00D84031" w:rsidRDefault="007965BB">
            <w:pPr>
              <w:pStyle w:val="CellTextValue"/>
              <w:jc w:val="left"/>
            </w:pPr>
            <w:r>
              <w:rPr>
                <w:i/>
              </w:rPr>
              <w:t xml:space="preserve">Financial and operational capacity and </w:t>
            </w:r>
            <w:r>
              <w:rPr>
                <w:i/>
              </w:rPr>
              <w:t>exclusion</w:t>
            </w:r>
          </w:p>
        </w:tc>
        <w:tc>
          <w:tcPr>
            <w:tcW w:w="0" w:type="auto"/>
          </w:tcPr>
          <w:p w14:paraId="184CBF7D" w14:textId="77777777" w:rsidR="00D84031" w:rsidRDefault="007965BB">
            <w:pPr>
              <w:pStyle w:val="CellTextValue"/>
            </w:pPr>
            <w:r>
              <w:rPr>
                <w:color w:val="000000"/>
              </w:rPr>
              <w:t>The criteria are described in General Annex C.</w:t>
            </w:r>
          </w:p>
        </w:tc>
      </w:tr>
      <w:tr w:rsidR="00D84031" w14:paraId="399B2EBB" w14:textId="77777777">
        <w:tc>
          <w:tcPr>
            <w:tcW w:w="0" w:type="auto"/>
          </w:tcPr>
          <w:p w14:paraId="61D6193C" w14:textId="77777777" w:rsidR="00D84031" w:rsidRDefault="007965BB">
            <w:pPr>
              <w:pStyle w:val="CellTextValue"/>
              <w:jc w:val="left"/>
            </w:pPr>
            <w:r>
              <w:rPr>
                <w:i/>
              </w:rPr>
              <w:t>Award criteria</w:t>
            </w:r>
          </w:p>
        </w:tc>
        <w:tc>
          <w:tcPr>
            <w:tcW w:w="0" w:type="auto"/>
          </w:tcPr>
          <w:p w14:paraId="6D92F3AD" w14:textId="77777777" w:rsidR="00D84031" w:rsidRDefault="007965BB">
            <w:pPr>
              <w:pStyle w:val="CellTextValue"/>
            </w:pPr>
            <w:r>
              <w:rPr>
                <w:color w:val="000000"/>
              </w:rPr>
              <w:t>The criteria are described in General Annex D.</w:t>
            </w:r>
          </w:p>
        </w:tc>
      </w:tr>
      <w:tr w:rsidR="00D84031" w14:paraId="4F6C2975" w14:textId="77777777">
        <w:tc>
          <w:tcPr>
            <w:tcW w:w="0" w:type="auto"/>
          </w:tcPr>
          <w:p w14:paraId="115C9194" w14:textId="77777777" w:rsidR="00D84031" w:rsidRDefault="007965BB">
            <w:pPr>
              <w:pStyle w:val="CellTextValue"/>
              <w:jc w:val="left"/>
            </w:pPr>
            <w:r>
              <w:rPr>
                <w:i/>
              </w:rPr>
              <w:t>Documents</w:t>
            </w:r>
          </w:p>
        </w:tc>
        <w:tc>
          <w:tcPr>
            <w:tcW w:w="0" w:type="auto"/>
          </w:tcPr>
          <w:p w14:paraId="2749A5D8" w14:textId="77777777" w:rsidR="00D84031" w:rsidRDefault="007965BB">
            <w:pPr>
              <w:pStyle w:val="CellTextValue"/>
            </w:pPr>
            <w:r>
              <w:rPr>
                <w:color w:val="000000"/>
              </w:rPr>
              <w:t>The documents are described in General Annex E.</w:t>
            </w:r>
          </w:p>
        </w:tc>
      </w:tr>
      <w:tr w:rsidR="00D84031" w14:paraId="2A45628D" w14:textId="77777777">
        <w:tc>
          <w:tcPr>
            <w:tcW w:w="0" w:type="auto"/>
          </w:tcPr>
          <w:p w14:paraId="037F4D1E" w14:textId="77777777" w:rsidR="00D84031" w:rsidRDefault="007965BB">
            <w:pPr>
              <w:pStyle w:val="CellTextValue"/>
              <w:jc w:val="left"/>
            </w:pPr>
            <w:r>
              <w:rPr>
                <w:i/>
              </w:rPr>
              <w:t>Procedure</w:t>
            </w:r>
          </w:p>
        </w:tc>
        <w:tc>
          <w:tcPr>
            <w:tcW w:w="0" w:type="auto"/>
          </w:tcPr>
          <w:p w14:paraId="45BE22AF" w14:textId="77777777" w:rsidR="00D84031" w:rsidRDefault="007965BB">
            <w:pPr>
              <w:pStyle w:val="CellTextValue"/>
            </w:pPr>
            <w:r>
              <w:rPr>
                <w:color w:val="000000"/>
              </w:rPr>
              <w:t>The procedure is described in General Annex F.</w:t>
            </w:r>
          </w:p>
        </w:tc>
      </w:tr>
      <w:tr w:rsidR="00D84031" w14:paraId="2F27C145" w14:textId="77777777">
        <w:tc>
          <w:tcPr>
            <w:tcW w:w="0" w:type="auto"/>
          </w:tcPr>
          <w:p w14:paraId="42E27FEF" w14:textId="77777777" w:rsidR="00D84031" w:rsidRDefault="007965BB">
            <w:pPr>
              <w:pStyle w:val="CellTextValue"/>
              <w:jc w:val="left"/>
            </w:pPr>
            <w:r>
              <w:rPr>
                <w:i/>
              </w:rPr>
              <w:t xml:space="preserve">Legal and </w:t>
            </w:r>
            <w:r>
              <w:rPr>
                <w:i/>
              </w:rPr>
              <w:t>financial set-up of the Grant Agreements</w:t>
            </w:r>
          </w:p>
        </w:tc>
        <w:tc>
          <w:tcPr>
            <w:tcW w:w="0" w:type="auto"/>
          </w:tcPr>
          <w:p w14:paraId="0652BCF5" w14:textId="77777777" w:rsidR="00D84031" w:rsidRDefault="007965BB">
            <w:pPr>
              <w:pStyle w:val="CellTextValue"/>
            </w:pPr>
            <w:r>
              <w:rPr>
                <w:color w:val="000000"/>
              </w:rPr>
              <w:t>The rules are described in General Annex G.</w:t>
            </w:r>
          </w:p>
        </w:tc>
      </w:tr>
    </w:tbl>
    <w:p w14:paraId="232E4BBC" w14:textId="77777777" w:rsidR="00D84031" w:rsidRDefault="00D84031">
      <w:pPr>
        <w:spacing w:after="0" w:line="150" w:lineRule="auto"/>
      </w:pPr>
    </w:p>
    <w:p w14:paraId="421C32B4" w14:textId="77777777" w:rsidR="00D84031" w:rsidRPr="00C62CF4" w:rsidRDefault="007965BB">
      <w:pPr>
        <w:pStyle w:val="HeadingTwo"/>
        <w:rPr>
          <w:lang w:val="en-IE"/>
        </w:rPr>
      </w:pPr>
      <w:r w:rsidRPr="00C62CF4">
        <w:rPr>
          <w:lang w:val="en-IE"/>
        </w:rPr>
        <w:t>Call - Culture, Creativity and Inclusive Society - 2027 - Two-stage</w:t>
      </w:r>
    </w:p>
    <w:p w14:paraId="4ED20133" w14:textId="77777777" w:rsidR="00D84031" w:rsidRDefault="007965BB">
      <w:pPr>
        <w:pStyle w:val="CallIdentifier"/>
      </w:pPr>
      <w:r>
        <w:t>HORIZON-CL2-2027-02-TWO-STAGE</w:t>
      </w:r>
    </w:p>
    <w:p w14:paraId="6984EB40" w14:textId="77777777" w:rsidR="00D84031" w:rsidRDefault="007965BB">
      <w:pPr>
        <w:pStyle w:val="HeadingThree"/>
      </w:pPr>
      <w:r>
        <w:t>Overview of this call</w:t>
      </w:r>
      <w:r>
        <w:rPr>
          <w:vertAlign w:val="superscript"/>
        </w:rPr>
        <w:footnoteReference w:id="10"/>
      </w:r>
    </w:p>
    <w:p w14:paraId="2B41DB68" w14:textId="77777777" w:rsidR="00D84031" w:rsidRDefault="007965BB">
      <w:r>
        <w:rPr>
          <w:u w:val="single"/>
        </w:rPr>
        <w:t xml:space="preserve">Proposals are invited against the </w:t>
      </w:r>
      <w:r>
        <w:rPr>
          <w:u w:val="single"/>
        </w:rPr>
        <w:t>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D84031" w14:paraId="678361D0" w14:textId="77777777">
        <w:tc>
          <w:tcPr>
            <w:tcW w:w="2000" w:type="dxa"/>
            <w:vMerge w:val="restart"/>
          </w:tcPr>
          <w:p w14:paraId="188AE080" w14:textId="77777777" w:rsidR="00D84031" w:rsidRDefault="007965BB">
            <w:pPr>
              <w:pStyle w:val="CellHeaderTextValue"/>
            </w:pPr>
            <w:r>
              <w:t>Topics</w:t>
            </w:r>
          </w:p>
        </w:tc>
        <w:tc>
          <w:tcPr>
            <w:tcW w:w="800" w:type="dxa"/>
            <w:vMerge w:val="restart"/>
          </w:tcPr>
          <w:p w14:paraId="22D35F6D" w14:textId="77777777" w:rsidR="00D84031" w:rsidRDefault="007965BB">
            <w:pPr>
              <w:pStyle w:val="CellHeaderTextValue"/>
            </w:pPr>
            <w:r>
              <w:t>Type of Action</w:t>
            </w:r>
          </w:p>
        </w:tc>
        <w:tc>
          <w:tcPr>
            <w:tcW w:w="0" w:type="auto"/>
          </w:tcPr>
          <w:p w14:paraId="220092AB" w14:textId="77777777" w:rsidR="00D84031" w:rsidRDefault="007965BB">
            <w:pPr>
              <w:pStyle w:val="CellHeaderTextValue"/>
            </w:pPr>
            <w:r>
              <w:t>Budgets (EUR million)</w:t>
            </w:r>
          </w:p>
        </w:tc>
        <w:tc>
          <w:tcPr>
            <w:tcW w:w="0" w:type="auto"/>
            <w:vMerge w:val="restart"/>
          </w:tcPr>
          <w:p w14:paraId="0B077B32" w14:textId="77777777" w:rsidR="00D84031" w:rsidRDefault="007965BB">
            <w:pPr>
              <w:pStyle w:val="CellHeaderTextValue"/>
            </w:pPr>
            <w:r>
              <w:t>Expected EU contribution per project (EUR million)</w:t>
            </w:r>
            <w:r>
              <w:rPr>
                <w:vertAlign w:val="superscript"/>
              </w:rPr>
              <w:footnoteReference w:id="11"/>
            </w:r>
          </w:p>
        </w:tc>
        <w:tc>
          <w:tcPr>
            <w:tcW w:w="800" w:type="dxa"/>
            <w:vMerge w:val="restart"/>
          </w:tcPr>
          <w:p w14:paraId="390DF52C" w14:textId="77777777" w:rsidR="00D84031" w:rsidRDefault="007965BB">
            <w:pPr>
              <w:pStyle w:val="CellHeaderTextValue"/>
            </w:pPr>
            <w:r>
              <w:t>Indicative number of projects expected to be funded</w:t>
            </w:r>
          </w:p>
        </w:tc>
      </w:tr>
      <w:tr w:rsidR="00D84031" w14:paraId="3D2D4BCA" w14:textId="77777777">
        <w:tc>
          <w:tcPr>
            <w:tcW w:w="0" w:type="auto"/>
            <w:vMerge/>
          </w:tcPr>
          <w:p w14:paraId="364C57AF" w14:textId="77777777" w:rsidR="00D84031" w:rsidRDefault="00D84031"/>
        </w:tc>
        <w:tc>
          <w:tcPr>
            <w:tcW w:w="0" w:type="auto"/>
            <w:vMerge/>
          </w:tcPr>
          <w:p w14:paraId="29CC965D" w14:textId="77777777" w:rsidR="00D84031" w:rsidRDefault="00D84031"/>
        </w:tc>
        <w:tc>
          <w:tcPr>
            <w:tcW w:w="0" w:type="auto"/>
          </w:tcPr>
          <w:p w14:paraId="28B133B2" w14:textId="77777777" w:rsidR="00D84031" w:rsidRDefault="007965BB">
            <w:pPr>
              <w:pStyle w:val="CellHeaderTextValue"/>
            </w:pPr>
            <w:r>
              <w:t>2027</w:t>
            </w:r>
          </w:p>
        </w:tc>
        <w:tc>
          <w:tcPr>
            <w:tcW w:w="0" w:type="auto"/>
            <w:vMerge/>
          </w:tcPr>
          <w:p w14:paraId="3118F933" w14:textId="77777777" w:rsidR="00D84031" w:rsidRDefault="00D84031"/>
        </w:tc>
        <w:tc>
          <w:tcPr>
            <w:tcW w:w="0" w:type="auto"/>
            <w:vMerge/>
          </w:tcPr>
          <w:p w14:paraId="261CE296" w14:textId="77777777" w:rsidR="00D84031" w:rsidRDefault="00D84031"/>
        </w:tc>
      </w:tr>
      <w:tr w:rsidR="00C62CF4" w14:paraId="036E8821" w14:textId="77777777" w:rsidTr="00C62CF4">
        <w:tc>
          <w:tcPr>
            <w:tcW w:w="0" w:type="auto"/>
            <w:gridSpan w:val="5"/>
          </w:tcPr>
          <w:p w14:paraId="0DC1602C" w14:textId="77777777" w:rsidR="00D84031" w:rsidRDefault="007965BB">
            <w:pPr>
              <w:pStyle w:val="CellTextValue"/>
              <w:jc w:val="center"/>
            </w:pPr>
            <w:r>
              <w:t>Opening: 30 Jun 2027</w:t>
            </w:r>
          </w:p>
          <w:p w14:paraId="4E933F04" w14:textId="77777777" w:rsidR="00D84031" w:rsidRDefault="007965BB">
            <w:pPr>
              <w:pStyle w:val="CellTextValue"/>
              <w:jc w:val="center"/>
            </w:pPr>
            <w:r>
              <w:t xml:space="preserve">Deadline(s): 16 Sep 2027 (First </w:t>
            </w:r>
            <w:r>
              <w:t>Stage), 03 Feb 2028 (Second Stage)</w:t>
            </w:r>
          </w:p>
        </w:tc>
      </w:tr>
      <w:tr w:rsidR="00C62CF4" w14:paraId="12CC8A6C" w14:textId="77777777" w:rsidTr="00C62CF4">
        <w:tc>
          <w:tcPr>
            <w:tcW w:w="0" w:type="auto"/>
            <w:gridSpan w:val="5"/>
          </w:tcPr>
          <w:p w14:paraId="42690BAA" w14:textId="77777777" w:rsidR="00D84031" w:rsidRDefault="007965BB">
            <w:pPr>
              <w:pStyle w:val="CellTextValue"/>
            </w:pPr>
            <w:r>
              <w:t>Destination Innovative Research on Democracy and Governance</w:t>
            </w:r>
          </w:p>
        </w:tc>
      </w:tr>
      <w:tr w:rsidR="00D84031" w14:paraId="5410F4D3" w14:textId="77777777">
        <w:tc>
          <w:tcPr>
            <w:tcW w:w="0" w:type="auto"/>
          </w:tcPr>
          <w:p w14:paraId="4BE70529" w14:textId="77777777" w:rsidR="00D84031" w:rsidRDefault="007965BB">
            <w:pPr>
              <w:pStyle w:val="CellTextValue"/>
            </w:pPr>
            <w:r>
              <w:t>HORIZON-CL2-2027-02-DEMOCRACY-09-</w:t>
            </w:r>
            <w:r>
              <w:lastRenderedPageBreak/>
              <w:t>two-stage: Open topic on reinvigorating and shielding European democracy</w:t>
            </w:r>
          </w:p>
        </w:tc>
        <w:tc>
          <w:tcPr>
            <w:tcW w:w="0" w:type="auto"/>
          </w:tcPr>
          <w:p w14:paraId="78BDCB03" w14:textId="77777777" w:rsidR="00D84031" w:rsidRDefault="007965BB">
            <w:pPr>
              <w:pStyle w:val="CellTextValue"/>
            </w:pPr>
            <w:r>
              <w:lastRenderedPageBreak/>
              <w:t>RIA</w:t>
            </w:r>
          </w:p>
        </w:tc>
        <w:tc>
          <w:tcPr>
            <w:tcW w:w="0" w:type="auto"/>
            <w:vMerge w:val="restart"/>
          </w:tcPr>
          <w:p w14:paraId="2422191E" w14:textId="77777777" w:rsidR="00D84031" w:rsidRDefault="007965BB">
            <w:pPr>
              <w:pStyle w:val="CellTextValue"/>
            </w:pPr>
            <w:r>
              <w:t>22.00</w:t>
            </w:r>
          </w:p>
        </w:tc>
        <w:tc>
          <w:tcPr>
            <w:tcW w:w="0" w:type="auto"/>
          </w:tcPr>
          <w:p w14:paraId="4B2A6472" w14:textId="77777777" w:rsidR="00D84031" w:rsidRDefault="007965BB">
            <w:pPr>
              <w:pStyle w:val="CellTextValue"/>
            </w:pPr>
            <w:r>
              <w:t>2.00 to 3.70</w:t>
            </w:r>
          </w:p>
        </w:tc>
        <w:tc>
          <w:tcPr>
            <w:tcW w:w="0" w:type="auto"/>
          </w:tcPr>
          <w:p w14:paraId="345C4D5F" w14:textId="77777777" w:rsidR="00D84031" w:rsidRDefault="007965BB">
            <w:pPr>
              <w:pStyle w:val="CellTextValue"/>
            </w:pPr>
            <w:r>
              <w:t>6</w:t>
            </w:r>
          </w:p>
        </w:tc>
      </w:tr>
      <w:tr w:rsidR="00C62CF4" w14:paraId="3D06F15B" w14:textId="77777777" w:rsidTr="00C62CF4">
        <w:tc>
          <w:tcPr>
            <w:tcW w:w="0" w:type="auto"/>
            <w:gridSpan w:val="5"/>
          </w:tcPr>
          <w:p w14:paraId="298D2F26" w14:textId="77777777" w:rsidR="00D84031" w:rsidRDefault="007965BB">
            <w:pPr>
              <w:pStyle w:val="CellTextValue"/>
            </w:pPr>
            <w:r>
              <w:t>Destination Innovative Research on European Cultural Heritage and Cultural and Creative Industries</w:t>
            </w:r>
          </w:p>
        </w:tc>
      </w:tr>
      <w:tr w:rsidR="00D84031" w14:paraId="7F56A36E" w14:textId="77777777">
        <w:tc>
          <w:tcPr>
            <w:tcW w:w="0" w:type="auto"/>
          </w:tcPr>
          <w:p w14:paraId="4E661702" w14:textId="77777777" w:rsidR="00D84031" w:rsidRDefault="007965BB">
            <w:pPr>
              <w:pStyle w:val="CellTextValue"/>
            </w:pPr>
            <w:r>
              <w:t>HORIZON-CL2-2027-02-HERITAGE-09-two-stage: Open topic on impact-driven research on realising the full potential of cultural heritage, arts and cultural and creative industries</w:t>
            </w:r>
          </w:p>
        </w:tc>
        <w:tc>
          <w:tcPr>
            <w:tcW w:w="0" w:type="auto"/>
          </w:tcPr>
          <w:p w14:paraId="3D8D9798" w14:textId="77777777" w:rsidR="00D84031" w:rsidRDefault="007965BB">
            <w:pPr>
              <w:pStyle w:val="CellTextValue"/>
            </w:pPr>
            <w:r>
              <w:t>RIA</w:t>
            </w:r>
          </w:p>
        </w:tc>
        <w:tc>
          <w:tcPr>
            <w:tcW w:w="0" w:type="auto"/>
            <w:vMerge w:val="restart"/>
          </w:tcPr>
          <w:p w14:paraId="7BFD8353" w14:textId="77777777" w:rsidR="00D84031" w:rsidRDefault="007965BB">
            <w:pPr>
              <w:pStyle w:val="CellTextValue"/>
            </w:pPr>
            <w:r>
              <w:t>20.00</w:t>
            </w:r>
          </w:p>
        </w:tc>
        <w:tc>
          <w:tcPr>
            <w:tcW w:w="0" w:type="auto"/>
          </w:tcPr>
          <w:p w14:paraId="47A3F094" w14:textId="77777777" w:rsidR="00D84031" w:rsidRDefault="007965BB">
            <w:pPr>
              <w:pStyle w:val="CellTextValue"/>
            </w:pPr>
            <w:r>
              <w:t>2.00 to 4.00</w:t>
            </w:r>
          </w:p>
        </w:tc>
        <w:tc>
          <w:tcPr>
            <w:tcW w:w="0" w:type="auto"/>
          </w:tcPr>
          <w:p w14:paraId="7751271E" w14:textId="77777777" w:rsidR="00D84031" w:rsidRDefault="007965BB">
            <w:pPr>
              <w:pStyle w:val="CellTextValue"/>
            </w:pPr>
            <w:r>
              <w:t>5</w:t>
            </w:r>
          </w:p>
        </w:tc>
      </w:tr>
      <w:tr w:rsidR="00C62CF4" w14:paraId="6A375438" w14:textId="77777777" w:rsidTr="00C62CF4">
        <w:tc>
          <w:tcPr>
            <w:tcW w:w="0" w:type="auto"/>
            <w:gridSpan w:val="5"/>
          </w:tcPr>
          <w:p w14:paraId="39C8A4C7" w14:textId="77777777" w:rsidR="00D84031" w:rsidRDefault="007965BB">
            <w:pPr>
              <w:pStyle w:val="CellTextValue"/>
            </w:pPr>
            <w:r>
              <w:t>Destination Innovative Research on Social and Economic Transformations</w:t>
            </w:r>
          </w:p>
        </w:tc>
      </w:tr>
      <w:tr w:rsidR="00D84031" w14:paraId="76B2D8DD" w14:textId="77777777">
        <w:tc>
          <w:tcPr>
            <w:tcW w:w="0" w:type="auto"/>
          </w:tcPr>
          <w:p w14:paraId="67A6CC99" w14:textId="77777777" w:rsidR="00D84031" w:rsidRDefault="007965BB">
            <w:pPr>
              <w:pStyle w:val="CellTextValue"/>
            </w:pPr>
            <w:r>
              <w:t xml:space="preserve">HORIZON-CL2-2027-02-TRANSFO-09-two-stage: Improving socio-economic outcomes for persons with dementia and informal caregivers </w:t>
            </w:r>
          </w:p>
        </w:tc>
        <w:tc>
          <w:tcPr>
            <w:tcW w:w="0" w:type="auto"/>
          </w:tcPr>
          <w:p w14:paraId="0503FBC7" w14:textId="77777777" w:rsidR="00D84031" w:rsidRDefault="007965BB">
            <w:pPr>
              <w:pStyle w:val="CellTextValue"/>
            </w:pPr>
            <w:r>
              <w:t>RIA</w:t>
            </w:r>
          </w:p>
        </w:tc>
        <w:tc>
          <w:tcPr>
            <w:tcW w:w="0" w:type="auto"/>
            <w:vMerge w:val="restart"/>
          </w:tcPr>
          <w:p w14:paraId="04DEADE1" w14:textId="77777777" w:rsidR="00D84031" w:rsidRDefault="007965BB">
            <w:pPr>
              <w:pStyle w:val="CellTextValue"/>
            </w:pPr>
            <w:r>
              <w:t>16.00</w:t>
            </w:r>
          </w:p>
        </w:tc>
        <w:tc>
          <w:tcPr>
            <w:tcW w:w="0" w:type="auto"/>
          </w:tcPr>
          <w:p w14:paraId="6DC14722" w14:textId="77777777" w:rsidR="00D84031" w:rsidRDefault="007965BB">
            <w:pPr>
              <w:pStyle w:val="CellTextValue"/>
            </w:pPr>
            <w:r>
              <w:t>Around 3.20</w:t>
            </w:r>
          </w:p>
        </w:tc>
        <w:tc>
          <w:tcPr>
            <w:tcW w:w="0" w:type="auto"/>
          </w:tcPr>
          <w:p w14:paraId="2AD2DE9C" w14:textId="77777777" w:rsidR="00D84031" w:rsidRDefault="007965BB">
            <w:pPr>
              <w:pStyle w:val="CellTextValue"/>
            </w:pPr>
            <w:r>
              <w:t>5</w:t>
            </w:r>
          </w:p>
        </w:tc>
      </w:tr>
      <w:tr w:rsidR="00D84031" w14:paraId="177FD549" w14:textId="77777777">
        <w:tc>
          <w:tcPr>
            <w:tcW w:w="0" w:type="auto"/>
          </w:tcPr>
          <w:p w14:paraId="4636A074" w14:textId="77777777" w:rsidR="00D84031" w:rsidRDefault="007965BB">
            <w:pPr>
              <w:pStyle w:val="CellTextValue"/>
            </w:pPr>
            <w:r>
              <w:t>Overall indicative budget</w:t>
            </w:r>
          </w:p>
        </w:tc>
        <w:tc>
          <w:tcPr>
            <w:tcW w:w="0" w:type="auto"/>
          </w:tcPr>
          <w:p w14:paraId="38B659E2" w14:textId="77777777" w:rsidR="00D84031" w:rsidRDefault="00D84031"/>
        </w:tc>
        <w:tc>
          <w:tcPr>
            <w:tcW w:w="0" w:type="auto"/>
          </w:tcPr>
          <w:p w14:paraId="46A3017A" w14:textId="77777777" w:rsidR="00D84031" w:rsidRDefault="007965BB">
            <w:pPr>
              <w:pStyle w:val="CellTextValue"/>
            </w:pPr>
            <w:r>
              <w:t>58.00</w:t>
            </w:r>
          </w:p>
        </w:tc>
        <w:tc>
          <w:tcPr>
            <w:tcW w:w="0" w:type="auto"/>
          </w:tcPr>
          <w:p w14:paraId="767C7F02" w14:textId="77777777" w:rsidR="00D84031" w:rsidRDefault="00D84031"/>
        </w:tc>
        <w:tc>
          <w:tcPr>
            <w:tcW w:w="0" w:type="auto"/>
          </w:tcPr>
          <w:p w14:paraId="212159D4" w14:textId="77777777" w:rsidR="00D84031" w:rsidRDefault="00D84031"/>
        </w:tc>
      </w:tr>
    </w:tbl>
    <w:p w14:paraId="1E261EFF" w14:textId="77777777" w:rsidR="00D84031" w:rsidRDefault="00D84031">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C62CF4" w14:paraId="2B7042F1" w14:textId="77777777" w:rsidTr="00C62CF4">
        <w:tc>
          <w:tcPr>
            <w:tcW w:w="0" w:type="auto"/>
            <w:gridSpan w:val="2"/>
          </w:tcPr>
          <w:p w14:paraId="377FEF6F" w14:textId="77777777" w:rsidR="00D84031" w:rsidRDefault="007965BB">
            <w:pPr>
              <w:pStyle w:val="CellTextValue"/>
            </w:pPr>
            <w:r>
              <w:rPr>
                <w:b/>
              </w:rPr>
              <w:t>General conditions relating to this call</w:t>
            </w:r>
          </w:p>
        </w:tc>
      </w:tr>
      <w:tr w:rsidR="00D84031" w14:paraId="23342ABF" w14:textId="77777777">
        <w:tc>
          <w:tcPr>
            <w:tcW w:w="0" w:type="auto"/>
          </w:tcPr>
          <w:p w14:paraId="0CC4E8ED" w14:textId="77777777" w:rsidR="00D84031" w:rsidRDefault="007965BB">
            <w:pPr>
              <w:pStyle w:val="CellTextValue"/>
              <w:jc w:val="left"/>
            </w:pPr>
            <w:r>
              <w:rPr>
                <w:i/>
              </w:rPr>
              <w:t>Admissibility conditions</w:t>
            </w:r>
          </w:p>
        </w:tc>
        <w:tc>
          <w:tcPr>
            <w:tcW w:w="0" w:type="auto"/>
          </w:tcPr>
          <w:p w14:paraId="7928899C" w14:textId="77777777" w:rsidR="00D84031" w:rsidRDefault="007965BB">
            <w:pPr>
              <w:pStyle w:val="CellTextValue"/>
            </w:pPr>
            <w:r>
              <w:rPr>
                <w:color w:val="000000"/>
              </w:rPr>
              <w:t>The conditions are described in General Annex A.</w:t>
            </w:r>
          </w:p>
        </w:tc>
      </w:tr>
      <w:tr w:rsidR="00D84031" w14:paraId="51C95627" w14:textId="77777777">
        <w:tc>
          <w:tcPr>
            <w:tcW w:w="0" w:type="auto"/>
          </w:tcPr>
          <w:p w14:paraId="2358ABA5" w14:textId="77777777" w:rsidR="00D84031" w:rsidRDefault="007965BB">
            <w:pPr>
              <w:pStyle w:val="CellTextValue"/>
              <w:jc w:val="left"/>
            </w:pPr>
            <w:r>
              <w:rPr>
                <w:i/>
              </w:rPr>
              <w:t>Eligibility conditions</w:t>
            </w:r>
          </w:p>
        </w:tc>
        <w:tc>
          <w:tcPr>
            <w:tcW w:w="0" w:type="auto"/>
          </w:tcPr>
          <w:p w14:paraId="1BBD8CA5" w14:textId="77777777" w:rsidR="00D84031" w:rsidRDefault="007965BB">
            <w:pPr>
              <w:pStyle w:val="CellTextValue"/>
            </w:pPr>
            <w:r>
              <w:rPr>
                <w:color w:val="000000"/>
              </w:rPr>
              <w:t>The conditions are described in General Annex B.</w:t>
            </w:r>
          </w:p>
        </w:tc>
      </w:tr>
      <w:tr w:rsidR="00D84031" w14:paraId="68558528" w14:textId="77777777">
        <w:tc>
          <w:tcPr>
            <w:tcW w:w="0" w:type="auto"/>
          </w:tcPr>
          <w:p w14:paraId="33FB098F" w14:textId="77777777" w:rsidR="00D84031" w:rsidRDefault="007965BB">
            <w:pPr>
              <w:pStyle w:val="CellTextValue"/>
              <w:jc w:val="left"/>
            </w:pPr>
            <w:r>
              <w:rPr>
                <w:i/>
              </w:rPr>
              <w:t>Financial and operational capacity and exclusion</w:t>
            </w:r>
          </w:p>
        </w:tc>
        <w:tc>
          <w:tcPr>
            <w:tcW w:w="0" w:type="auto"/>
          </w:tcPr>
          <w:p w14:paraId="40AA824C" w14:textId="77777777" w:rsidR="00D84031" w:rsidRDefault="007965BB">
            <w:pPr>
              <w:pStyle w:val="CellTextValue"/>
            </w:pPr>
            <w:r>
              <w:rPr>
                <w:color w:val="000000"/>
              </w:rPr>
              <w:t>The criteria are described in General Annex C.</w:t>
            </w:r>
          </w:p>
        </w:tc>
      </w:tr>
      <w:tr w:rsidR="00D84031" w14:paraId="5880BDF4" w14:textId="77777777">
        <w:tc>
          <w:tcPr>
            <w:tcW w:w="0" w:type="auto"/>
          </w:tcPr>
          <w:p w14:paraId="33E250C9" w14:textId="77777777" w:rsidR="00D84031" w:rsidRDefault="007965BB">
            <w:pPr>
              <w:pStyle w:val="CellTextValue"/>
              <w:jc w:val="left"/>
            </w:pPr>
            <w:r>
              <w:rPr>
                <w:i/>
              </w:rPr>
              <w:t xml:space="preserve">Award </w:t>
            </w:r>
            <w:r>
              <w:rPr>
                <w:i/>
              </w:rPr>
              <w:t>criteria</w:t>
            </w:r>
          </w:p>
        </w:tc>
        <w:tc>
          <w:tcPr>
            <w:tcW w:w="0" w:type="auto"/>
          </w:tcPr>
          <w:p w14:paraId="0C41EF29" w14:textId="77777777" w:rsidR="00D84031" w:rsidRDefault="007965BB">
            <w:pPr>
              <w:pStyle w:val="CellTextValue"/>
            </w:pPr>
            <w:r>
              <w:rPr>
                <w:color w:val="000000"/>
              </w:rPr>
              <w:t>The criteria are described in General Annex D.</w:t>
            </w:r>
          </w:p>
        </w:tc>
      </w:tr>
      <w:tr w:rsidR="00D84031" w14:paraId="7BCD7EBD" w14:textId="77777777">
        <w:tc>
          <w:tcPr>
            <w:tcW w:w="0" w:type="auto"/>
          </w:tcPr>
          <w:p w14:paraId="5E040D1C" w14:textId="77777777" w:rsidR="00D84031" w:rsidRDefault="007965BB">
            <w:pPr>
              <w:pStyle w:val="CellTextValue"/>
              <w:jc w:val="left"/>
            </w:pPr>
            <w:r>
              <w:rPr>
                <w:i/>
              </w:rPr>
              <w:t>Documents</w:t>
            </w:r>
          </w:p>
        </w:tc>
        <w:tc>
          <w:tcPr>
            <w:tcW w:w="0" w:type="auto"/>
          </w:tcPr>
          <w:p w14:paraId="5C77D259" w14:textId="77777777" w:rsidR="00D84031" w:rsidRDefault="007965BB">
            <w:pPr>
              <w:pStyle w:val="CellTextValue"/>
            </w:pPr>
            <w:r>
              <w:rPr>
                <w:color w:val="000000"/>
              </w:rPr>
              <w:t>The documents are described in General Annex E.</w:t>
            </w:r>
          </w:p>
        </w:tc>
      </w:tr>
      <w:tr w:rsidR="00D84031" w14:paraId="5418FAB3" w14:textId="77777777">
        <w:tc>
          <w:tcPr>
            <w:tcW w:w="0" w:type="auto"/>
          </w:tcPr>
          <w:p w14:paraId="158413C5" w14:textId="77777777" w:rsidR="00D84031" w:rsidRDefault="007965BB">
            <w:pPr>
              <w:pStyle w:val="CellTextValue"/>
              <w:jc w:val="left"/>
            </w:pPr>
            <w:r>
              <w:rPr>
                <w:i/>
              </w:rPr>
              <w:t>Procedure</w:t>
            </w:r>
          </w:p>
        </w:tc>
        <w:tc>
          <w:tcPr>
            <w:tcW w:w="0" w:type="auto"/>
          </w:tcPr>
          <w:p w14:paraId="06F730D4" w14:textId="77777777" w:rsidR="00D84031" w:rsidRDefault="007965BB">
            <w:pPr>
              <w:pStyle w:val="CellTextValue"/>
            </w:pPr>
            <w:r>
              <w:rPr>
                <w:color w:val="000000"/>
              </w:rPr>
              <w:t>The procedure is described in General Annex F.</w:t>
            </w:r>
          </w:p>
        </w:tc>
      </w:tr>
      <w:tr w:rsidR="00D84031" w14:paraId="19965756" w14:textId="77777777">
        <w:tc>
          <w:tcPr>
            <w:tcW w:w="0" w:type="auto"/>
          </w:tcPr>
          <w:p w14:paraId="5D567C05" w14:textId="77777777" w:rsidR="00D84031" w:rsidRDefault="007965BB">
            <w:pPr>
              <w:pStyle w:val="CellTextValue"/>
              <w:jc w:val="left"/>
            </w:pPr>
            <w:r>
              <w:rPr>
                <w:i/>
              </w:rPr>
              <w:t>Legal and financial set-up of the Grant Agreements</w:t>
            </w:r>
          </w:p>
        </w:tc>
        <w:tc>
          <w:tcPr>
            <w:tcW w:w="0" w:type="auto"/>
          </w:tcPr>
          <w:p w14:paraId="59E0A13C" w14:textId="77777777" w:rsidR="00D84031" w:rsidRDefault="007965BB">
            <w:pPr>
              <w:pStyle w:val="CellTextValue"/>
            </w:pPr>
            <w:r>
              <w:rPr>
                <w:color w:val="000000"/>
              </w:rPr>
              <w:t xml:space="preserve">The rules are </w:t>
            </w:r>
            <w:r>
              <w:rPr>
                <w:color w:val="000000"/>
              </w:rPr>
              <w:t>described in General Annex G.</w:t>
            </w:r>
          </w:p>
        </w:tc>
      </w:tr>
    </w:tbl>
    <w:p w14:paraId="37A13E3B" w14:textId="77777777" w:rsidR="00D84031" w:rsidRDefault="00D84031">
      <w:pPr>
        <w:spacing w:after="0" w:line="150" w:lineRule="auto"/>
      </w:pPr>
    </w:p>
    <w:p w14:paraId="3FDD3BEB" w14:textId="77777777" w:rsidR="00D84031" w:rsidRDefault="007965BB">
      <w:pPr>
        <w:pStyle w:val="HeadingOne"/>
        <w:pageBreakBefore/>
      </w:pPr>
      <w:r>
        <w:lastRenderedPageBreak/>
        <w:t>DESTINATIONS</w:t>
      </w:r>
    </w:p>
    <w:p w14:paraId="25508216" w14:textId="77777777" w:rsidR="00D84031" w:rsidRPr="00C62CF4" w:rsidRDefault="007965BB">
      <w:pPr>
        <w:pStyle w:val="HeadingTwo"/>
        <w:rPr>
          <w:lang w:val="en-IE"/>
        </w:rPr>
      </w:pPr>
      <w:r w:rsidRPr="00C62CF4">
        <w:rPr>
          <w:lang w:val="en-IE"/>
        </w:rPr>
        <w:t>Destination Innovative Research on Democracy and Governance</w:t>
      </w:r>
    </w:p>
    <w:p w14:paraId="1C9B460F" w14:textId="77777777" w:rsidR="00D84031" w:rsidRDefault="007965BB">
      <w:r>
        <w:rPr>
          <w:color w:val="000000"/>
        </w:rPr>
        <w:t>"World peace cannot be safeguarded without the making of creative efforts proportionate to the dangers which threaten it. The contribution which an organized and living Europe can bring to civilization is indispensable to the maintenance of peaceful relations." Amidst the dislocations in the multilateral order witnessed by the end of the first quarter of the 21st century, these words from the Schuman Declaration of May 1950, resonate with a new sense of urgency and intensity.</w:t>
      </w:r>
    </w:p>
    <w:p w14:paraId="0BDB6C8B" w14:textId="77777777" w:rsidR="00D84031" w:rsidRDefault="007965BB">
      <w:r>
        <w:rPr>
          <w:color w:val="000000"/>
        </w:rPr>
        <w:t>The rule of law, respect for human rights and democracy are the EU’s foundational values laid down in Article 2 of the Treaty on European Union. Few could have foreseen, when the Treaties were drafted, the global democratic decline, with a widespread setback and breakdown of democratic institutions</w:t>
      </w:r>
      <w:r>
        <w:rPr>
          <w:vertAlign w:val="superscript"/>
        </w:rPr>
        <w:footnoteReference w:id="12"/>
      </w:r>
      <w:r>
        <w:rPr>
          <w:color w:val="000000"/>
        </w:rPr>
        <w:t>, the geopolitical shifts shaking the foundations of a rules-based order, or the accelerated pace of the digital transformations that render our democracies more exposed to malign external influence.</w:t>
      </w:r>
    </w:p>
    <w:p w14:paraId="7BDFC1B8" w14:textId="77777777" w:rsidR="00D84031" w:rsidRDefault="007965BB">
      <w:r>
        <w:rPr>
          <w:color w:val="000000"/>
        </w:rPr>
        <w:t>In such a context of increased democratic setback, with illiberal, populist and autocratic tendencies and practices on the rise, even in traditionally well-functioning democracies, social sciences and humanities research play a crucial role in understanding current challenges and threats and mapping future pathways for innovative solutions. Building on historical, cultural, social, legal and philosophical perspectives, research will foster democracy’s further development with a view to enhancing citizen par</w:t>
      </w:r>
      <w:r>
        <w:rPr>
          <w:color w:val="000000"/>
        </w:rPr>
        <w:t>ticipation and inclusive policymaking, promoting equality and inclusiveness, addressing the impact of AI and the digital transformation of democracy, reinforcing democratic resilience and civic preparedness, preserving the role of free and plural media as key tenets of democracy, among other objectives.</w:t>
      </w:r>
    </w:p>
    <w:p w14:paraId="5217BD02" w14:textId="77777777" w:rsidR="00D84031" w:rsidRDefault="007965BB">
      <w:r>
        <w:rPr>
          <w:color w:val="000000"/>
          <w:u w:val="single"/>
        </w:rPr>
        <w:t>Expected impact</w:t>
      </w:r>
      <w:r>
        <w:rPr>
          <w:color w:val="000000"/>
        </w:rPr>
        <w:t>:</w:t>
      </w:r>
    </w:p>
    <w:p w14:paraId="73BAD7A8" w14:textId="77777777" w:rsidR="00D84031" w:rsidRDefault="007965BB">
      <w:r>
        <w:rPr>
          <w:color w:val="000000"/>
        </w:rPr>
        <w:t xml:space="preserve">Proposals for topics under this destination should set out a credible pathway to contributing to the following expected </w:t>
      </w:r>
      <w:r>
        <w:rPr>
          <w:color w:val="000000"/>
        </w:rPr>
        <w:t>impact of the Horizon Europe Strategic Plan:</w:t>
      </w:r>
    </w:p>
    <w:p w14:paraId="61F03161" w14:textId="77777777" w:rsidR="00D84031" w:rsidRDefault="007965BB" w:rsidP="00C62CF4">
      <w:pPr>
        <w:pStyle w:val="ListParagraph"/>
        <w:numPr>
          <w:ilvl w:val="0"/>
          <w:numId w:val="7"/>
        </w:numPr>
      </w:pPr>
      <w:r>
        <w:rPr>
          <w:color w:val="000000"/>
        </w:rPr>
        <w:t xml:space="preserve">Reinvigorating democratic governance by improving the accountability, transparency, effectiveness and trustworthiness of institutions and policies based on rule of law, and through the expansion of active and inclusive citizens’ participation and engagement empowered by the safeguarding of fundamental rights.  </w:t>
      </w:r>
    </w:p>
    <w:p w14:paraId="56A33F10" w14:textId="77777777" w:rsidR="00D84031" w:rsidRDefault="007965BB">
      <w:r>
        <w:rPr>
          <w:color w:val="000000"/>
        </w:rPr>
        <w:lastRenderedPageBreak/>
        <w:t>The aim of the research investment supporting this impact is to develop a robust evidence base on which to build effective, relevant and sensible policies that bolster the resilience of democratic systems and protect them from threats, while contributing at the same time to rebuilding citizens’ trust in democracy, its institutions, and the sense of political participation in its widest possible sense.</w:t>
      </w:r>
    </w:p>
    <w:p w14:paraId="4FB72712" w14:textId="77777777" w:rsidR="00D84031" w:rsidRDefault="007965BB">
      <w:r>
        <w:rPr>
          <w:color w:val="000000"/>
        </w:rPr>
        <w:t>The destination will seek synergies with other relevant EU programmes, in particular for the uptake of research results and innovative solutions developed under Horizon Europe. Interaction – among others – with the following programmes is encouraged: Digital Europe (DIGITAL), Technical Support Instrument, CERV (Citizens, Equality, Rights and Values), Erasmus+, ESF+ and Global Europe: Neighbourhood, Development and International Cooperation Instrument.</w:t>
      </w:r>
    </w:p>
    <w:p w14:paraId="4062CAB6" w14:textId="77777777" w:rsidR="00D84031" w:rsidRDefault="007965BB">
      <w:r>
        <w:rPr>
          <w:color w:val="000000"/>
        </w:rPr>
        <w:t>Applicants are encouraged to consider, where relevant, the services offered by the current and future EU-funded European Research Infrastructures, particularly those in the social sciences and humanities domain</w:t>
      </w:r>
      <w:r>
        <w:rPr>
          <w:vertAlign w:val="superscript"/>
        </w:rPr>
        <w:footnoteReference w:id="13"/>
      </w:r>
      <w:r>
        <w:rPr>
          <w:color w:val="000000"/>
        </w:rPr>
        <w:t>. Where applicable, proposals should leverage the data and services available through European Research Infrastructures federated under the European Open Science Cloud, as well as data from relevant Data Spaces.</w:t>
      </w:r>
    </w:p>
    <w:p w14:paraId="2907748C" w14:textId="77777777" w:rsidR="00D84031" w:rsidRDefault="007965BB">
      <w:r>
        <w:rPr>
          <w:color w:val="000000"/>
        </w:rPr>
        <w:t xml:space="preserve">As the destination aims directly at citizen engagement and at producing lasting change, it is of particular importance that the research and innovation actions promote the highest standards of transparency and openness. Particular efforts should be made to ensure that the data produced in the context of this destination is FAIR (Findable, Accessible, Interoperable and Re-usable). When applicable, it is encouraged to open up the process, criteria, methodologies and data to civil society in the course of the </w:t>
      </w:r>
      <w:r>
        <w:rPr>
          <w:color w:val="000000"/>
        </w:rPr>
        <w:t>research.</w:t>
      </w:r>
    </w:p>
    <w:p w14:paraId="1E0EDCD4" w14:textId="77777777" w:rsidR="00D84031" w:rsidRDefault="007965BB">
      <w:r>
        <w:rPr>
          <w:color w:val="000000"/>
        </w:rPr>
        <w:t>To maximise the impacts of R&amp;I under this Destination in line with EU priorities, international cooperation is encouraged whenever relevant in the proposed topics.</w:t>
      </w:r>
    </w:p>
    <w:p w14:paraId="3B3A6CCF" w14:textId="77777777" w:rsidR="00D84031" w:rsidRDefault="007965BB">
      <w:r>
        <w:t>Proposals are invited against the following topic(s):</w:t>
      </w:r>
    </w:p>
    <w:p w14:paraId="4B6D1917" w14:textId="77777777" w:rsidR="00D84031" w:rsidRDefault="007965BB">
      <w:pPr>
        <w:pStyle w:val="HeadingThree"/>
      </w:pPr>
      <w:r>
        <w:t xml:space="preserve">HORIZON-CL2-2026-01-DEMOCRACY-01: Tackling gender-based violence against politically active women and LGBTIQ people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77EC6D85" w14:textId="77777777" w:rsidTr="00C62CF4">
        <w:tc>
          <w:tcPr>
            <w:tcW w:w="0" w:type="auto"/>
            <w:gridSpan w:val="2"/>
          </w:tcPr>
          <w:p w14:paraId="336863AB" w14:textId="77777777" w:rsidR="00D84031" w:rsidRDefault="007965BB">
            <w:pPr>
              <w:pStyle w:val="CellTextValue"/>
            </w:pPr>
            <w:r>
              <w:rPr>
                <w:b/>
              </w:rPr>
              <w:t>Call: Culture, Creativity and Inclusive Society 2026</w:t>
            </w:r>
          </w:p>
        </w:tc>
      </w:tr>
      <w:tr w:rsidR="00C62CF4" w14:paraId="338C2814" w14:textId="77777777" w:rsidTr="00C62CF4">
        <w:tc>
          <w:tcPr>
            <w:tcW w:w="0" w:type="auto"/>
            <w:gridSpan w:val="2"/>
          </w:tcPr>
          <w:p w14:paraId="44328845" w14:textId="77777777" w:rsidR="00D84031" w:rsidRDefault="007965BB">
            <w:pPr>
              <w:pStyle w:val="CellTextValue"/>
            </w:pPr>
            <w:r>
              <w:rPr>
                <w:b/>
              </w:rPr>
              <w:t>Specific conditions</w:t>
            </w:r>
          </w:p>
        </w:tc>
      </w:tr>
      <w:tr w:rsidR="00D84031" w14:paraId="57AE8B91" w14:textId="77777777">
        <w:tc>
          <w:tcPr>
            <w:tcW w:w="0" w:type="auto"/>
          </w:tcPr>
          <w:p w14:paraId="22EA551E" w14:textId="77777777" w:rsidR="00D84031" w:rsidRDefault="007965BB">
            <w:pPr>
              <w:pStyle w:val="CellTextValue"/>
              <w:jc w:val="left"/>
            </w:pPr>
            <w:r>
              <w:rPr>
                <w:i/>
              </w:rPr>
              <w:t>Expected EU contribution per project</w:t>
            </w:r>
          </w:p>
        </w:tc>
        <w:tc>
          <w:tcPr>
            <w:tcW w:w="0" w:type="auto"/>
          </w:tcPr>
          <w:p w14:paraId="12D02F2D" w14:textId="77777777" w:rsidR="00D84031" w:rsidRDefault="007965BB">
            <w:pPr>
              <w:pStyle w:val="CellTextValue"/>
            </w:pPr>
            <w:r>
              <w:t xml:space="preserve">The Commission estimates that an EU contribution of between EUR 3.50 and 4.00 million would allow these outcomes to be addressed appropriately. Nonetheless, this does not preclude submission and </w:t>
            </w:r>
            <w:r>
              <w:t>selection of a proposal requesting different amounts.</w:t>
            </w:r>
          </w:p>
        </w:tc>
      </w:tr>
      <w:tr w:rsidR="00D84031" w14:paraId="6B17DDF8" w14:textId="77777777">
        <w:tc>
          <w:tcPr>
            <w:tcW w:w="0" w:type="auto"/>
          </w:tcPr>
          <w:p w14:paraId="5E2D18AF" w14:textId="77777777" w:rsidR="00D84031" w:rsidRDefault="007965BB">
            <w:pPr>
              <w:pStyle w:val="CellTextValue"/>
              <w:jc w:val="left"/>
            </w:pPr>
            <w:r>
              <w:rPr>
                <w:i/>
              </w:rPr>
              <w:lastRenderedPageBreak/>
              <w:t>Indicative budget</w:t>
            </w:r>
          </w:p>
        </w:tc>
        <w:tc>
          <w:tcPr>
            <w:tcW w:w="0" w:type="auto"/>
          </w:tcPr>
          <w:p w14:paraId="0318D7B5" w14:textId="77777777" w:rsidR="00D84031" w:rsidRDefault="007965BB">
            <w:pPr>
              <w:pStyle w:val="CellTextValue"/>
            </w:pPr>
            <w:r>
              <w:t>The total indicative budget for the topic is EUR 12.00 million.</w:t>
            </w:r>
          </w:p>
        </w:tc>
      </w:tr>
      <w:tr w:rsidR="00D84031" w14:paraId="7626770C" w14:textId="77777777">
        <w:tc>
          <w:tcPr>
            <w:tcW w:w="0" w:type="auto"/>
          </w:tcPr>
          <w:p w14:paraId="0DAB5B2D" w14:textId="77777777" w:rsidR="00D84031" w:rsidRDefault="007965BB">
            <w:pPr>
              <w:pStyle w:val="CellTextValue"/>
              <w:jc w:val="left"/>
            </w:pPr>
            <w:r>
              <w:rPr>
                <w:i/>
              </w:rPr>
              <w:t>Type of Action</w:t>
            </w:r>
          </w:p>
        </w:tc>
        <w:tc>
          <w:tcPr>
            <w:tcW w:w="0" w:type="auto"/>
          </w:tcPr>
          <w:p w14:paraId="01D57CEE" w14:textId="77777777" w:rsidR="00D84031" w:rsidRDefault="007965BB">
            <w:pPr>
              <w:pStyle w:val="CellTextValue"/>
            </w:pPr>
            <w:r>
              <w:rPr>
                <w:color w:val="000000"/>
              </w:rPr>
              <w:t>Research and Innovation Actions</w:t>
            </w:r>
          </w:p>
        </w:tc>
      </w:tr>
      <w:tr w:rsidR="00D84031" w14:paraId="06B491A6" w14:textId="77777777">
        <w:tc>
          <w:tcPr>
            <w:tcW w:w="0" w:type="auto"/>
          </w:tcPr>
          <w:p w14:paraId="3CB1F73B" w14:textId="77777777" w:rsidR="00D84031" w:rsidRDefault="007965BB">
            <w:pPr>
              <w:pStyle w:val="CellTextValue"/>
              <w:jc w:val="left"/>
            </w:pPr>
            <w:r>
              <w:rPr>
                <w:i/>
              </w:rPr>
              <w:t>Legal and financial set-up of the Grant Agreements</w:t>
            </w:r>
          </w:p>
        </w:tc>
        <w:tc>
          <w:tcPr>
            <w:tcW w:w="0" w:type="auto"/>
          </w:tcPr>
          <w:p w14:paraId="1266642F" w14:textId="77777777" w:rsidR="00D84031" w:rsidRDefault="007965BB">
            <w:pPr>
              <w:pStyle w:val="CellTextValue"/>
            </w:pPr>
            <w:r>
              <w:rPr>
                <w:color w:val="000000"/>
              </w:rPr>
              <w:t>The rules are described in General Annex G. The following exceptions apply:</w:t>
            </w:r>
          </w:p>
          <w:p w14:paraId="7D1E1911"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4"/>
            </w:r>
            <w:r>
              <w:rPr>
                <w:color w:val="000000"/>
              </w:rPr>
              <w:t>.</w:t>
            </w:r>
          </w:p>
        </w:tc>
      </w:tr>
    </w:tbl>
    <w:p w14:paraId="58443324" w14:textId="77777777" w:rsidR="00D84031" w:rsidRDefault="00D84031">
      <w:pPr>
        <w:spacing w:after="0" w:line="150" w:lineRule="auto"/>
      </w:pPr>
    </w:p>
    <w:p w14:paraId="4B6AE1DD" w14:textId="77777777" w:rsidR="00D84031" w:rsidRDefault="007965BB">
      <w:r>
        <w:rPr>
          <w:u w:val="single"/>
        </w:rPr>
        <w:t>Expected Outcome</w:t>
      </w:r>
      <w:r>
        <w:t xml:space="preserve">: </w:t>
      </w:r>
      <w:r>
        <w:rPr>
          <w:color w:val="000000"/>
        </w:rPr>
        <w:t>Projects should contribute to all of the following expected outcomes:</w:t>
      </w:r>
    </w:p>
    <w:p w14:paraId="5E67C9CE" w14:textId="77777777" w:rsidR="00D84031" w:rsidRDefault="007965BB" w:rsidP="00C62CF4">
      <w:pPr>
        <w:pStyle w:val="ListParagraph"/>
        <w:numPr>
          <w:ilvl w:val="0"/>
          <w:numId w:val="8"/>
        </w:numPr>
      </w:pPr>
      <w:r>
        <w:rPr>
          <w:color w:val="000000"/>
        </w:rPr>
        <w:t xml:space="preserve">EU and </w:t>
      </w:r>
      <w:r>
        <w:rPr>
          <w:color w:val="000000"/>
        </w:rPr>
        <w:t>national policymakers and relevant stakeholders get an enhanced understanding of the drivers of violence against women and LGBTIQ people who are politically active or political aspirants.</w:t>
      </w:r>
    </w:p>
    <w:p w14:paraId="4EB5BA9A" w14:textId="77777777" w:rsidR="00D84031" w:rsidRDefault="007965BB" w:rsidP="00C62CF4">
      <w:pPr>
        <w:pStyle w:val="ListParagraph"/>
        <w:numPr>
          <w:ilvl w:val="0"/>
          <w:numId w:val="8"/>
        </w:numPr>
      </w:pPr>
      <w:r>
        <w:rPr>
          <w:color w:val="000000"/>
        </w:rPr>
        <w:t>Enhanced prevention and early intervention through better understanding of the drivers and impacts of violence (short- and long-term) on women and LGBTIQ people engaged, or aspiring to engage, in online and offline political activities and how their participation evolves after experiencing violence and harassment.</w:t>
      </w:r>
    </w:p>
    <w:p w14:paraId="2CC48CD3" w14:textId="77777777" w:rsidR="00D84031" w:rsidRDefault="007965BB" w:rsidP="00C62CF4">
      <w:pPr>
        <w:pStyle w:val="ListParagraph"/>
        <w:numPr>
          <w:ilvl w:val="0"/>
          <w:numId w:val="8"/>
        </w:numPr>
      </w:pPr>
      <w:r>
        <w:rPr>
          <w:color w:val="000000"/>
        </w:rPr>
        <w:t>Uptake of evidence-based policy recommendations by policymakers and relevant stakeholders on tackling gender-based violence alongside violence against politically active women and LGBTIQ people, promoting equal political participation and addressing harmful narratives.</w:t>
      </w:r>
    </w:p>
    <w:p w14:paraId="0B5B3D31" w14:textId="77777777" w:rsidR="00D84031" w:rsidRDefault="007965BB" w:rsidP="00C62CF4">
      <w:pPr>
        <w:pStyle w:val="ListParagraph"/>
        <w:numPr>
          <w:ilvl w:val="0"/>
          <w:numId w:val="8"/>
        </w:numPr>
      </w:pPr>
      <w:r>
        <w:rPr>
          <w:color w:val="000000"/>
        </w:rPr>
        <w:t xml:space="preserve">Broader adherence to media guidelines on responsible, ethical, and safe portrayals of and reporting on gender-based violence in a political context, embedding gender-sensitive and intersectional reporting and incorporating successful </w:t>
      </w:r>
      <w:r>
        <w:rPr>
          <w:color w:val="000000"/>
        </w:rPr>
        <w:t>practices with demonstrable, positive outcomes.</w:t>
      </w:r>
    </w:p>
    <w:p w14:paraId="46473FAA" w14:textId="77777777" w:rsidR="00D84031" w:rsidRDefault="007965BB" w:rsidP="00C62CF4">
      <w:pPr>
        <w:pStyle w:val="ListParagraph"/>
        <w:numPr>
          <w:ilvl w:val="0"/>
          <w:numId w:val="8"/>
        </w:numPr>
      </w:pPr>
      <w:r>
        <w:rPr>
          <w:color w:val="000000"/>
        </w:rPr>
        <w:t xml:space="preserve">Promotion of an inclusive environment that encourages political participation of women, and LGBTIQ people, notably from underrepresented groups, through collaboration across key public, political and civil society actors. </w:t>
      </w:r>
    </w:p>
    <w:p w14:paraId="366245CF" w14:textId="77777777" w:rsidR="00D84031" w:rsidRDefault="007965BB">
      <w:r>
        <w:rPr>
          <w:u w:val="single"/>
        </w:rPr>
        <w:t>Scope</w:t>
      </w:r>
      <w:r>
        <w:t xml:space="preserve">: </w:t>
      </w:r>
      <w:r>
        <w:rPr>
          <w:color w:val="000000"/>
        </w:rPr>
        <w:t>The increased participation of women and LGBTIQ people in public life</w:t>
      </w:r>
      <w:r>
        <w:rPr>
          <w:vertAlign w:val="superscript"/>
        </w:rPr>
        <w:footnoteReference w:id="15"/>
      </w:r>
      <w:r>
        <w:rPr>
          <w:color w:val="000000"/>
        </w:rPr>
        <w:t xml:space="preserve"> coincides with a rise in two severe forms of violence: politically motivated violence targeting public </w:t>
      </w:r>
      <w:r>
        <w:rPr>
          <w:color w:val="000000"/>
        </w:rPr>
        <w:lastRenderedPageBreak/>
        <w:t>figures and gender-based violence (GBV).</w:t>
      </w:r>
      <w:r>
        <w:rPr>
          <w:vertAlign w:val="superscript"/>
        </w:rPr>
        <w:footnoteReference w:id="16"/>
      </w:r>
      <w:r>
        <w:rPr>
          <w:color w:val="000000"/>
        </w:rPr>
        <w:t xml:space="preserve"> When these two forms of violence intersect, they obstruct progress toward equality, reinforce traditional gender norms and stereotypes, power imbalances, and pose significant threats to democratic societies. </w:t>
      </w:r>
    </w:p>
    <w:p w14:paraId="731CE2FF" w14:textId="77777777" w:rsidR="00D84031" w:rsidRDefault="007965BB">
      <w:r>
        <w:rPr>
          <w:color w:val="000000"/>
        </w:rPr>
        <w:t>The EU Directive on combating violence against women acknowledges the impact of violence on women active in public life, particularly its silencing effect. The European Commission’s 2024-2029 political guidelines place the fight against GBV at the heart of the post-2025 Equality Strategy, notably to empower women in politics</w:t>
      </w:r>
      <w:r>
        <w:rPr>
          <w:vertAlign w:val="superscript"/>
        </w:rPr>
        <w:footnoteReference w:id="17"/>
      </w:r>
      <w:r>
        <w:rPr>
          <w:color w:val="000000"/>
        </w:rPr>
        <w:t>. The Roadmap for Women’s Rights</w:t>
      </w:r>
      <w:r>
        <w:rPr>
          <w:vertAlign w:val="superscript"/>
        </w:rPr>
        <w:footnoteReference w:id="18"/>
      </w:r>
      <w:r>
        <w:rPr>
          <w:color w:val="000000"/>
        </w:rPr>
        <w:t xml:space="preserve"> recalls that women “face higher risks of threats and violence limiting their participation in public life”, while the Equality Commissioner’s Mission Letter identifies hate-motivated harassment and (online) violence as a key focus for the oist-2025 LGBTIQ Equality Strategy.</w:t>
      </w:r>
    </w:p>
    <w:p w14:paraId="363D57CF" w14:textId="77777777" w:rsidR="00D84031" w:rsidRDefault="007965BB">
      <w:r>
        <w:rPr>
          <w:color w:val="000000"/>
        </w:rPr>
        <w:t xml:space="preserve">This violence occurs in various forms, including sexual and physical threats and assaults, harassment, character assassinations, hate speech, disinformation campaigns exploiting misogynistic or anti-LGBTIQ narratives and deceptive image manipulation. With technological advancements, the methods of violence and harassment have moved online and become increasingly sophisticated and viral, exemplified by phenomena like cyber pile-on harassment and deepfakes. Their consequences, however, extend to the physical </w:t>
      </w:r>
      <w:r>
        <w:rPr>
          <w:color w:val="000000"/>
        </w:rPr>
        <w:t>world, causing physical and psychological harm, as well as impacting professional and personal reputations, quality of life, and family. Proposals should, therefore, explore the wide range of impacts, including the chilling effect on victims, such as their withdrawal from social media and public debates. As situations of social, economic or political instability can exacerbate GBV and LGBTIQ-phobic violence, proposals are encouraged to explore how crises affect the nature, prevalence, and prevention of thes</w:t>
      </w:r>
      <w:r>
        <w:rPr>
          <w:color w:val="000000"/>
        </w:rPr>
        <w:t>e types of violence, as well as victims’ access to support and justice.</w:t>
      </w:r>
    </w:p>
    <w:p w14:paraId="6A5E6DBF" w14:textId="77777777" w:rsidR="00D84031" w:rsidRDefault="007965BB">
      <w:r>
        <w:rPr>
          <w:color w:val="000000"/>
        </w:rPr>
        <w:t>Both political and media spheres, including radio, television, print, and online platforms, play a key role in shaping societal norms. Yet, coverage of GBV and cases of LGBTIQ-phobic violence are often sensationalised and biased, particularly when it involves public figures. For instance, little is known on how fictional and non-fictional narratives influence public awareness and perceptions of violence against politically active women and LGBTIQ people. Such gaps can lead to inadequate responses and suppor</w:t>
      </w:r>
      <w:r>
        <w:rPr>
          <w:color w:val="000000"/>
        </w:rPr>
        <w:t>t systems, while reinforcing gender stereotypes and contributing to victim blaming. Proposals should gather data on this impact and counteract sensationalism and misogyny to position media as driver of positive change.</w:t>
      </w:r>
    </w:p>
    <w:p w14:paraId="43A53884" w14:textId="77777777" w:rsidR="00D84031" w:rsidRDefault="007965BB">
      <w:r>
        <w:rPr>
          <w:color w:val="000000"/>
        </w:rPr>
        <w:lastRenderedPageBreak/>
        <w:t>Proposals are encouraged to explore cultural beliefs and practices, considering fields such as cinema and literature alongside social media platforms to explore how cultural representations and national context influence perceptions and responses to intersecting violence.</w:t>
      </w:r>
    </w:p>
    <w:p w14:paraId="3475EAA8" w14:textId="77777777" w:rsidR="00D84031" w:rsidRDefault="007965BB">
      <w:r>
        <w:rPr>
          <w:color w:val="000000"/>
        </w:rPr>
        <w:t>In addition, given that politically motivated violence, GBV and LGBTIQ-phobic violence intersect with various forms of discrimination, including racism</w:t>
      </w:r>
      <w:r>
        <w:rPr>
          <w:vertAlign w:val="superscript"/>
        </w:rPr>
        <w:footnoteReference w:id="19"/>
      </w:r>
      <w:r>
        <w:rPr>
          <w:color w:val="000000"/>
        </w:rPr>
        <w:t>, proposals must consider at least three intersecting factors, such as disability, racial or ethnic background, age, religion or belief or other relevant intersecting dimensions. An intersectional lens is key to understand how the perpetration and experience of violence, including to report and access support, vary according to social, economic and identity-related characteristics of victims and perpetrators.</w:t>
      </w:r>
    </w:p>
    <w:p w14:paraId="2AB80C8B" w14:textId="77777777" w:rsidR="00D84031" w:rsidRDefault="007965BB">
      <w:r>
        <w:rPr>
          <w:color w:val="000000"/>
        </w:rPr>
        <w:t>A multi-country approach using quantitative and qualitative data is key. Proposals should draw on a range of relevant disciplines (including SSH), and engage stakeholders, civil society organisations and individuals directly affected by the issues in the design and implementation of research activities. Engaging men and boys in preventing violence and challenging norms should be an integral part of the research. This could include exploring how arts and humanities approaches can foster critical reflection o</w:t>
      </w:r>
      <w:r>
        <w:rPr>
          <w:color w:val="000000"/>
        </w:rPr>
        <w:t>n gender norms, violence and discrimination.</w:t>
      </w:r>
    </w:p>
    <w:p w14:paraId="71C5FE58" w14:textId="77777777" w:rsidR="00D84031" w:rsidRDefault="007965BB">
      <w:r>
        <w:rPr>
          <w:color w:val="000000"/>
        </w:rPr>
        <w:t>Where applicable, proposals should leverage the data and services available through European Research Infrastructures federated under the European Open Science Cloud (EOSC). Particular efforts should be made to ensure that the data produced in the context of this topic is FAIR (Findable, Accessible, Interoperable and Re-usable).</w:t>
      </w:r>
    </w:p>
    <w:p w14:paraId="53BB6B9B" w14:textId="77777777" w:rsidR="00D84031" w:rsidRDefault="007965BB">
      <w:r>
        <w:rPr>
          <w:color w:val="000000"/>
        </w:rPr>
        <w:t>Projects are encouraged to collaborate with the projects funded under HORIZON-CL2-2025-01-TRANSFO-01: “Tackling gender-based violence in different social and economic spheres” and exploit complementarities with projects funded under HORIZON-CL2-2021-DEMOCRACY-01-03: “Feminisms for a new age of democracy”, HORIZON-CL3-2021-FCT-01-06: “Domestic and sexual violence are prevented and combated”, HORIZON-CL2-2024-DEMOCRACY-01-05: “Gender-roles in extremist movements and their impact on democracy” and HORIZON-CL2-</w:t>
      </w:r>
      <w:r>
        <w:rPr>
          <w:color w:val="000000"/>
        </w:rPr>
        <w:t>2026-01-DEMOCRACY-08 “Electoral integrity in the digital context”. Synergies with projects funded under the calls for proposals to prevent and combat GBV and violence against children (CERV-2024-DAPHNE and CERV-2025-DAPHNE) are encouraged.</w:t>
      </w:r>
    </w:p>
    <w:p w14:paraId="581BFA0A" w14:textId="77777777" w:rsidR="00D84031" w:rsidRDefault="007965BB">
      <w:pPr>
        <w:pStyle w:val="HeadingThree"/>
      </w:pPr>
      <w:r>
        <w:t xml:space="preserve">HORIZON-CL2-2026-01-DEMOCRACY-02: Understanding the forms of local democracy in low-income and low-middle income countries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446D7DFF" w14:textId="77777777" w:rsidTr="00C62CF4">
        <w:tc>
          <w:tcPr>
            <w:tcW w:w="0" w:type="auto"/>
            <w:gridSpan w:val="2"/>
          </w:tcPr>
          <w:p w14:paraId="44543E94" w14:textId="77777777" w:rsidR="00D84031" w:rsidRDefault="007965BB">
            <w:pPr>
              <w:pStyle w:val="CellTextValue"/>
            </w:pPr>
            <w:r>
              <w:rPr>
                <w:b/>
              </w:rPr>
              <w:t>Call: Culture, Creativity and Inclusive Society 2026</w:t>
            </w:r>
          </w:p>
        </w:tc>
      </w:tr>
      <w:tr w:rsidR="00C62CF4" w14:paraId="524FB52A" w14:textId="77777777" w:rsidTr="00C62CF4">
        <w:tc>
          <w:tcPr>
            <w:tcW w:w="0" w:type="auto"/>
            <w:gridSpan w:val="2"/>
          </w:tcPr>
          <w:p w14:paraId="378780AB" w14:textId="77777777" w:rsidR="00D84031" w:rsidRDefault="007965BB">
            <w:pPr>
              <w:pStyle w:val="CellTextValue"/>
            </w:pPr>
            <w:r>
              <w:rPr>
                <w:b/>
              </w:rPr>
              <w:t>Specific conditions</w:t>
            </w:r>
          </w:p>
        </w:tc>
      </w:tr>
      <w:tr w:rsidR="00D84031" w14:paraId="744219F7" w14:textId="77777777">
        <w:tc>
          <w:tcPr>
            <w:tcW w:w="0" w:type="auto"/>
          </w:tcPr>
          <w:p w14:paraId="56E5FE73" w14:textId="77777777" w:rsidR="00D84031" w:rsidRDefault="007965BB">
            <w:pPr>
              <w:pStyle w:val="CellTextValue"/>
              <w:jc w:val="left"/>
            </w:pPr>
            <w:r>
              <w:rPr>
                <w:i/>
              </w:rPr>
              <w:lastRenderedPageBreak/>
              <w:t xml:space="preserve">Expected EU contribution per </w:t>
            </w:r>
            <w:r>
              <w:rPr>
                <w:i/>
              </w:rPr>
              <w:t>project</w:t>
            </w:r>
          </w:p>
        </w:tc>
        <w:tc>
          <w:tcPr>
            <w:tcW w:w="0" w:type="auto"/>
          </w:tcPr>
          <w:p w14:paraId="505F54B9" w14:textId="77777777" w:rsidR="00D84031" w:rsidRDefault="007965BB">
            <w:pPr>
              <w:pStyle w:val="CellTextValue"/>
            </w:pPr>
            <w:r>
              <w:t>The Commission estimates that an EU contribution of between EUR 3.50 and 4.00 million would allow these outcomes to be addressed appropriately. Nonetheless, this does not preclude submission and selection of a proposal requesting different amounts.</w:t>
            </w:r>
          </w:p>
        </w:tc>
      </w:tr>
      <w:tr w:rsidR="00D84031" w14:paraId="4D00269D" w14:textId="77777777">
        <w:tc>
          <w:tcPr>
            <w:tcW w:w="0" w:type="auto"/>
          </w:tcPr>
          <w:p w14:paraId="26EB13FD" w14:textId="77777777" w:rsidR="00D84031" w:rsidRDefault="007965BB">
            <w:pPr>
              <w:pStyle w:val="CellTextValue"/>
              <w:jc w:val="left"/>
            </w:pPr>
            <w:r>
              <w:rPr>
                <w:i/>
              </w:rPr>
              <w:t>Indicative budget</w:t>
            </w:r>
          </w:p>
        </w:tc>
        <w:tc>
          <w:tcPr>
            <w:tcW w:w="0" w:type="auto"/>
          </w:tcPr>
          <w:p w14:paraId="236AA31C" w14:textId="77777777" w:rsidR="00D84031" w:rsidRDefault="007965BB">
            <w:pPr>
              <w:pStyle w:val="CellTextValue"/>
            </w:pPr>
            <w:r>
              <w:t>The total indicative budget for the topic is EUR 12.00 million.</w:t>
            </w:r>
          </w:p>
        </w:tc>
      </w:tr>
      <w:tr w:rsidR="00D84031" w14:paraId="090725D0" w14:textId="77777777">
        <w:tc>
          <w:tcPr>
            <w:tcW w:w="0" w:type="auto"/>
          </w:tcPr>
          <w:p w14:paraId="19D62CC7" w14:textId="77777777" w:rsidR="00D84031" w:rsidRDefault="007965BB">
            <w:pPr>
              <w:pStyle w:val="CellTextValue"/>
              <w:jc w:val="left"/>
            </w:pPr>
            <w:r>
              <w:rPr>
                <w:i/>
              </w:rPr>
              <w:t>Type of Action</w:t>
            </w:r>
          </w:p>
        </w:tc>
        <w:tc>
          <w:tcPr>
            <w:tcW w:w="0" w:type="auto"/>
          </w:tcPr>
          <w:p w14:paraId="48809CAB" w14:textId="77777777" w:rsidR="00D84031" w:rsidRDefault="007965BB">
            <w:pPr>
              <w:pStyle w:val="CellTextValue"/>
            </w:pPr>
            <w:r>
              <w:rPr>
                <w:color w:val="000000"/>
              </w:rPr>
              <w:t>Research and Innovation Actions</w:t>
            </w:r>
          </w:p>
        </w:tc>
      </w:tr>
      <w:tr w:rsidR="00D84031" w14:paraId="1BF177BE" w14:textId="77777777">
        <w:tc>
          <w:tcPr>
            <w:tcW w:w="0" w:type="auto"/>
          </w:tcPr>
          <w:p w14:paraId="7242604C" w14:textId="77777777" w:rsidR="00D84031" w:rsidRDefault="007965BB">
            <w:pPr>
              <w:pStyle w:val="CellTextValue"/>
              <w:jc w:val="left"/>
            </w:pPr>
            <w:r>
              <w:rPr>
                <w:i/>
              </w:rPr>
              <w:t>Legal and financial set-up of the Grant Agreements</w:t>
            </w:r>
          </w:p>
        </w:tc>
        <w:tc>
          <w:tcPr>
            <w:tcW w:w="0" w:type="auto"/>
          </w:tcPr>
          <w:p w14:paraId="7775253D" w14:textId="77777777" w:rsidR="00D84031" w:rsidRDefault="007965BB">
            <w:pPr>
              <w:pStyle w:val="CellTextValue"/>
            </w:pPr>
            <w:r>
              <w:rPr>
                <w:color w:val="000000"/>
              </w:rPr>
              <w:t xml:space="preserve">The rules are described in General Annex G. The following </w:t>
            </w:r>
            <w:r>
              <w:rPr>
                <w:color w:val="000000"/>
              </w:rPr>
              <w:t>exceptions apply:</w:t>
            </w:r>
          </w:p>
          <w:p w14:paraId="64228913"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0"/>
            </w:r>
            <w:r>
              <w:rPr>
                <w:color w:val="000000"/>
              </w:rPr>
              <w:t>.</w:t>
            </w:r>
          </w:p>
        </w:tc>
      </w:tr>
    </w:tbl>
    <w:p w14:paraId="198B85B3" w14:textId="77777777" w:rsidR="00D84031" w:rsidRDefault="00D84031">
      <w:pPr>
        <w:spacing w:after="0" w:line="150" w:lineRule="auto"/>
      </w:pPr>
    </w:p>
    <w:p w14:paraId="1894D70E" w14:textId="77777777" w:rsidR="00D84031" w:rsidRDefault="007965BB">
      <w:r>
        <w:rPr>
          <w:u w:val="single"/>
        </w:rPr>
        <w:t>Expected Outcome</w:t>
      </w:r>
      <w:r>
        <w:t xml:space="preserve">: </w:t>
      </w:r>
      <w:r>
        <w:rPr>
          <w:color w:val="000000"/>
        </w:rPr>
        <w:t>Projects should contribute to all of the following expected outcomes:</w:t>
      </w:r>
    </w:p>
    <w:p w14:paraId="210B0250" w14:textId="77777777" w:rsidR="00D84031" w:rsidRDefault="007965BB" w:rsidP="00C62CF4">
      <w:pPr>
        <w:pStyle w:val="ListParagraph"/>
        <w:numPr>
          <w:ilvl w:val="0"/>
          <w:numId w:val="9"/>
        </w:numPr>
      </w:pPr>
      <w:r>
        <w:rPr>
          <w:color w:val="000000"/>
        </w:rPr>
        <w:t>EU institutions and national decision-makers are equipped with science-based tools, toolkits, training models, monitoring frameworks, and recommendations to proactively promote inequality reduction, human rights and democracy, in order to lead to more resilient and inclusive democratic societies in low-income and low-middle income countries</w:t>
      </w:r>
      <w:r>
        <w:rPr>
          <w:vertAlign w:val="superscript"/>
        </w:rPr>
        <w:footnoteReference w:id="21"/>
      </w:r>
    </w:p>
    <w:p w14:paraId="3E6482D1" w14:textId="77777777" w:rsidR="00D84031" w:rsidRDefault="007965BB" w:rsidP="00C62CF4">
      <w:pPr>
        <w:pStyle w:val="ListParagraph"/>
        <w:numPr>
          <w:ilvl w:val="0"/>
          <w:numId w:val="9"/>
        </w:numPr>
      </w:pPr>
      <w:r>
        <w:rPr>
          <w:color w:val="000000"/>
        </w:rPr>
        <w:t>EU institutions and national decision-makers are better able to proactively promote democratic values, principles and practices in low- and low-middle income countries grounded in a better understanding of the actors at local level including their capacity and needs when engaging in democratic practices.</w:t>
      </w:r>
    </w:p>
    <w:p w14:paraId="30FB57E8" w14:textId="77777777" w:rsidR="00D84031" w:rsidRDefault="007965BB" w:rsidP="00C62CF4">
      <w:pPr>
        <w:pStyle w:val="ListParagraph"/>
        <w:numPr>
          <w:ilvl w:val="0"/>
          <w:numId w:val="9"/>
        </w:numPr>
      </w:pPr>
      <w:r>
        <w:rPr>
          <w:color w:val="000000"/>
        </w:rPr>
        <w:t>EU institutions, national decision-makers, and civil society organisations can access and use (science-based) good practices for working in fragile contexts</w:t>
      </w:r>
      <w:r>
        <w:rPr>
          <w:vertAlign w:val="superscript"/>
        </w:rPr>
        <w:footnoteReference w:id="22"/>
      </w:r>
    </w:p>
    <w:p w14:paraId="356819CD" w14:textId="77777777" w:rsidR="00D84031" w:rsidRDefault="007965BB" w:rsidP="00C62CF4">
      <w:pPr>
        <w:pStyle w:val="ListParagraph"/>
        <w:numPr>
          <w:ilvl w:val="0"/>
          <w:numId w:val="9"/>
        </w:numPr>
      </w:pPr>
      <w:r>
        <w:rPr>
          <w:color w:val="000000"/>
        </w:rPr>
        <w:lastRenderedPageBreak/>
        <w:t xml:space="preserve">EU institutions and national decision-makers understand the role of decentralization processes in low-income and low-middle income countries, and its impact on the quality of public services and on acceptance of democratic processes among citizens.  </w:t>
      </w:r>
    </w:p>
    <w:p w14:paraId="75B2A1FD" w14:textId="77777777" w:rsidR="00D84031" w:rsidRDefault="007965BB">
      <w:r>
        <w:rPr>
          <w:color w:val="000000"/>
        </w:rPr>
        <w:t xml:space="preserve">In </w:t>
      </w:r>
      <w:r>
        <w:rPr>
          <w:color w:val="000000"/>
        </w:rPr>
        <w:t>addition, projects should contribute to at least one of the following expected outcomes:</w:t>
      </w:r>
    </w:p>
    <w:p w14:paraId="60FD62EA" w14:textId="77777777" w:rsidR="00D84031" w:rsidRDefault="007965BB" w:rsidP="00C62CF4">
      <w:pPr>
        <w:pStyle w:val="ListParagraph"/>
        <w:numPr>
          <w:ilvl w:val="0"/>
          <w:numId w:val="10"/>
        </w:numPr>
      </w:pPr>
      <w:r>
        <w:rPr>
          <w:color w:val="000000"/>
        </w:rPr>
        <w:t xml:space="preserve">Policymakers, public authorities, and service delivery providers have a better understanding of the link between efficient delivery of public services and </w:t>
      </w:r>
      <w:r>
        <w:rPr>
          <w:color w:val="000000"/>
        </w:rPr>
        <w:t>pro-democratic sentiment, experiences, and outcome in low-income and low-middle income countries.</w:t>
      </w:r>
    </w:p>
    <w:p w14:paraId="73C89C85" w14:textId="77777777" w:rsidR="00D84031" w:rsidRDefault="007965BB" w:rsidP="00C62CF4">
      <w:pPr>
        <w:pStyle w:val="ListParagraph"/>
        <w:numPr>
          <w:ilvl w:val="0"/>
          <w:numId w:val="10"/>
        </w:numPr>
      </w:pPr>
      <w:r>
        <w:rPr>
          <w:color w:val="000000"/>
        </w:rPr>
        <w:t xml:space="preserve">Civil society organisations, and other relevant actors, working in the fields of development cooperation and promotion of human rights have better tools to promote democratic practices at local level in low-income and low-middle income countries.  </w:t>
      </w:r>
    </w:p>
    <w:p w14:paraId="7229A1A2" w14:textId="77777777" w:rsidR="00D84031" w:rsidRDefault="007965BB">
      <w:r>
        <w:rPr>
          <w:u w:val="single"/>
        </w:rPr>
        <w:t>Scope</w:t>
      </w:r>
      <w:r>
        <w:t xml:space="preserve">: </w:t>
      </w:r>
      <w:r>
        <w:rPr>
          <w:color w:val="000000"/>
        </w:rPr>
        <w:t>Democratic backsliding and human rights rollbacks are increasing globally, especially in low- and middle-income countries, driven by internal instability and external interference promoting non-democratic models. These trends also represent a risk to the security of European citizens and businesses, and a destabilisation factor in the countries and regions with which the EU maintains diplomatic and economic relations. To tackle this, the EU has developed and started to implement several strategies to prom</w:t>
      </w:r>
      <w:r>
        <w:rPr>
          <w:color w:val="000000"/>
        </w:rPr>
        <w:t>ote and defend democracy and human rights in third countries</w:t>
      </w:r>
      <w:r>
        <w:rPr>
          <w:vertAlign w:val="superscript"/>
        </w:rPr>
        <w:footnoteReference w:id="23"/>
      </w:r>
      <w:r>
        <w:rPr>
          <w:color w:val="000000"/>
        </w:rPr>
        <w:t>.</w:t>
      </w:r>
    </w:p>
    <w:p w14:paraId="422AC5DA" w14:textId="77777777" w:rsidR="00D84031" w:rsidRDefault="007965BB">
      <w:r>
        <w:rPr>
          <w:color w:val="000000"/>
        </w:rPr>
        <w:t>Developing countries where there is a solid democratic practice at local level, with elections and representative democracy at administrative levels lower than the national one, seem to be more resilient to phenomena that can be attributed to democratic backsliding. Proposals should therefore gather evidence on how actors in economic, political, and social ecosystems at the local level could foster democratic practices, increase citizens' trust in governance and democratic institutions, improve transparency</w:t>
      </w:r>
      <w:r>
        <w:rPr>
          <w:color w:val="000000"/>
        </w:rPr>
        <w:t xml:space="preserve"> of decision making, and promote respect for human rights. Proposals are also encouraged to gather evidence on different forms of democratic participation and governance at local level, paying particular attention to the inclusion of women and marginalised and underrepresented groups.</w:t>
      </w:r>
    </w:p>
    <w:p w14:paraId="7DF51BBA" w14:textId="77777777" w:rsidR="00D84031" w:rsidRDefault="007965BB">
      <w:r>
        <w:rPr>
          <w:color w:val="000000"/>
        </w:rPr>
        <w:t xml:space="preserve">In countries where central governments face significant territorial challenges and lack effective control over certain areas, the EU and Member States are left to cooperate with administrations at sub-national levels. In these cases, the objectives of the research projects may be achieved through the consultation and engagement of local administrations and civil society partners. Proposals are encouraged to investigate how EU and national public </w:t>
      </w:r>
      <w:r>
        <w:rPr>
          <w:color w:val="000000"/>
        </w:rPr>
        <w:lastRenderedPageBreak/>
        <w:t>authorities can operate in these fragile contexts, where central governments do not have sound control of areas of the country.</w:t>
      </w:r>
    </w:p>
    <w:p w14:paraId="3F359F1D" w14:textId="77777777" w:rsidR="00D84031" w:rsidRDefault="007965BB">
      <w:r>
        <w:rPr>
          <w:color w:val="000000"/>
        </w:rPr>
        <w:t>In addition, proposals are encouraged to investigate the link between efficient public service delivery and pro-democratic sentiment, experiences, and outcomes (measured, for example, by civic participation or trust in institutions), deliver a critical analysis of the evidence collected and identify good practices, conditions and methods for their transferability to other contexts.</w:t>
      </w:r>
    </w:p>
    <w:p w14:paraId="0725EEC9" w14:textId="77777777" w:rsidR="00D84031" w:rsidRDefault="007965BB">
      <w:r>
        <w:rPr>
          <w:color w:val="000000"/>
        </w:rPr>
        <w:t>Research activities should meaningfully involve a wide range of stakeholders and societal actors at local level (public authorities, economic and institutional actors, trade unions, traditional and faith leaders, indigenous people, women’s and LGBTIQ groups, and others), including non-scientific and non-academic actors. Proposals are encouraged to involve entities in low- and middle-income countries, to rely on their first-hand competences to steer the methodological approach and perform the data collection</w:t>
      </w:r>
      <w:r>
        <w:rPr>
          <w:color w:val="000000"/>
        </w:rPr>
        <w:t xml:space="preserve"> and analysis. Proposals are also encouraged to make use of participatory research approaches to enhance inclusivity and stakeholder engagement and experimental methods. They should adopt a multidisciplinary approach, integrating SSH fields such as political science, public administration, economics, cultural studies, sociology, gender studies, geography.</w:t>
      </w:r>
    </w:p>
    <w:p w14:paraId="554640ED" w14:textId="77777777" w:rsidR="00D84031" w:rsidRDefault="007965BB">
      <w:r>
        <w:rPr>
          <w:color w:val="000000"/>
        </w:rPr>
        <w:t>Proposals are encouraged to identify other relevant EU-funded projects related to EU democracy support, civil society engagement, and international cooperation on sustainable peace and democratic governance, and to explore potential collaboration opportunities with them.</w:t>
      </w:r>
    </w:p>
    <w:p w14:paraId="0335AEE0" w14:textId="77777777" w:rsidR="00D84031" w:rsidRDefault="007965BB">
      <w:r>
        <w:rPr>
          <w:color w:val="000000"/>
        </w:rPr>
        <w:t>Given the geographical scope of this research, international cooperation is strongly encouraged. Proposals are encouraged to foster collaboration with entities in alignment with the New EU Agenda for EU-Latin America and the Caribbean, New EU Agenda for EU-Latin America and the Caribbean, EU–Central Asia Strategy, and AU–EU Innovation Agenda.</w:t>
      </w:r>
    </w:p>
    <w:p w14:paraId="3D8274A2" w14:textId="77777777" w:rsidR="00D84031" w:rsidRDefault="007965BB">
      <w:r>
        <w:rPr>
          <w:color w:val="000000"/>
        </w:rPr>
        <w:t>Where applicable, proposals should leverage the data and services available through European Research Infrastructures federated under the European Open Science Cloud (EOSC), as well as data from relevant Data Spaces. Particular efforts should be made to ensure that the data produced in the context of this topic is FAIR (Findable, Accessible, Interoperable and Re-usable).</w:t>
      </w:r>
    </w:p>
    <w:p w14:paraId="50C1399A" w14:textId="77777777" w:rsidR="00D84031" w:rsidRDefault="007965BB">
      <w:pPr>
        <w:pStyle w:val="HeadingThree"/>
      </w:pPr>
      <w:r>
        <w:t xml:space="preserve">HORIZON-CL2-2026-01-DEMOCRACY-03: Government in transition – how governments change the way they work and prepare the civil service for the future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27D3797C" w14:textId="77777777" w:rsidTr="00C62CF4">
        <w:tc>
          <w:tcPr>
            <w:tcW w:w="0" w:type="auto"/>
            <w:gridSpan w:val="2"/>
          </w:tcPr>
          <w:p w14:paraId="1FCBB61E" w14:textId="77777777" w:rsidR="00D84031" w:rsidRDefault="007965BB">
            <w:pPr>
              <w:pStyle w:val="CellTextValue"/>
            </w:pPr>
            <w:r>
              <w:rPr>
                <w:b/>
              </w:rPr>
              <w:t>Call: Culture, Creativity and Inclusive Society 2026</w:t>
            </w:r>
          </w:p>
        </w:tc>
      </w:tr>
      <w:tr w:rsidR="00C62CF4" w14:paraId="7D1AB305" w14:textId="77777777" w:rsidTr="00C62CF4">
        <w:tc>
          <w:tcPr>
            <w:tcW w:w="0" w:type="auto"/>
            <w:gridSpan w:val="2"/>
          </w:tcPr>
          <w:p w14:paraId="76E845D6" w14:textId="77777777" w:rsidR="00D84031" w:rsidRDefault="007965BB">
            <w:pPr>
              <w:pStyle w:val="CellTextValue"/>
            </w:pPr>
            <w:r>
              <w:rPr>
                <w:b/>
              </w:rPr>
              <w:t>Specific conditions</w:t>
            </w:r>
          </w:p>
        </w:tc>
      </w:tr>
      <w:tr w:rsidR="00D84031" w14:paraId="3E42A4E1" w14:textId="77777777">
        <w:tc>
          <w:tcPr>
            <w:tcW w:w="0" w:type="auto"/>
          </w:tcPr>
          <w:p w14:paraId="0452C599" w14:textId="77777777" w:rsidR="00D84031" w:rsidRDefault="007965BB">
            <w:pPr>
              <w:pStyle w:val="CellTextValue"/>
              <w:jc w:val="left"/>
            </w:pPr>
            <w:r>
              <w:rPr>
                <w:i/>
              </w:rPr>
              <w:t>Expected EU contribution per project</w:t>
            </w:r>
          </w:p>
        </w:tc>
        <w:tc>
          <w:tcPr>
            <w:tcW w:w="0" w:type="auto"/>
          </w:tcPr>
          <w:p w14:paraId="76733EF1" w14:textId="77777777" w:rsidR="00D84031" w:rsidRDefault="007965BB">
            <w:pPr>
              <w:pStyle w:val="CellTextValue"/>
            </w:pPr>
            <w:r>
              <w:t xml:space="preserve">The Commission estimates that an EU </w:t>
            </w:r>
            <w:r>
              <w:t xml:space="preserve">contribution of between EUR 3.50 and 4.00 million would allow these outcomes to be addressed appropriately. Nonetheless, this does not preclude submission and </w:t>
            </w:r>
            <w:r>
              <w:lastRenderedPageBreak/>
              <w:t>selection of a proposal requesting different amounts.</w:t>
            </w:r>
          </w:p>
        </w:tc>
      </w:tr>
      <w:tr w:rsidR="00D84031" w14:paraId="2F81BD32" w14:textId="77777777">
        <w:tc>
          <w:tcPr>
            <w:tcW w:w="0" w:type="auto"/>
          </w:tcPr>
          <w:p w14:paraId="1DBC12FF" w14:textId="77777777" w:rsidR="00D84031" w:rsidRDefault="007965BB">
            <w:pPr>
              <w:pStyle w:val="CellTextValue"/>
              <w:jc w:val="left"/>
            </w:pPr>
            <w:r>
              <w:rPr>
                <w:i/>
              </w:rPr>
              <w:lastRenderedPageBreak/>
              <w:t>Indicative budget</w:t>
            </w:r>
          </w:p>
        </w:tc>
        <w:tc>
          <w:tcPr>
            <w:tcW w:w="0" w:type="auto"/>
          </w:tcPr>
          <w:p w14:paraId="53319082" w14:textId="77777777" w:rsidR="00D84031" w:rsidRDefault="007965BB">
            <w:pPr>
              <w:pStyle w:val="CellTextValue"/>
            </w:pPr>
            <w:r>
              <w:t>The total indicative budget for the topic is EUR 8.00 million.</w:t>
            </w:r>
          </w:p>
        </w:tc>
      </w:tr>
      <w:tr w:rsidR="00D84031" w14:paraId="0BAA9E3A" w14:textId="77777777">
        <w:tc>
          <w:tcPr>
            <w:tcW w:w="0" w:type="auto"/>
          </w:tcPr>
          <w:p w14:paraId="1F43E535" w14:textId="77777777" w:rsidR="00D84031" w:rsidRDefault="007965BB">
            <w:pPr>
              <w:pStyle w:val="CellTextValue"/>
              <w:jc w:val="left"/>
            </w:pPr>
            <w:r>
              <w:rPr>
                <w:i/>
              </w:rPr>
              <w:t>Type of Action</w:t>
            </w:r>
          </w:p>
        </w:tc>
        <w:tc>
          <w:tcPr>
            <w:tcW w:w="0" w:type="auto"/>
          </w:tcPr>
          <w:p w14:paraId="0ABCE505" w14:textId="77777777" w:rsidR="00D84031" w:rsidRDefault="007965BB">
            <w:pPr>
              <w:pStyle w:val="CellTextValue"/>
            </w:pPr>
            <w:r>
              <w:rPr>
                <w:color w:val="000000"/>
              </w:rPr>
              <w:t>Research and Innovation Actions</w:t>
            </w:r>
          </w:p>
        </w:tc>
      </w:tr>
      <w:tr w:rsidR="00D84031" w14:paraId="6CBA780A" w14:textId="77777777">
        <w:tc>
          <w:tcPr>
            <w:tcW w:w="0" w:type="auto"/>
          </w:tcPr>
          <w:p w14:paraId="2B84CD65" w14:textId="77777777" w:rsidR="00D84031" w:rsidRDefault="007965BB">
            <w:pPr>
              <w:pStyle w:val="CellTextValue"/>
              <w:jc w:val="left"/>
            </w:pPr>
            <w:r>
              <w:rPr>
                <w:i/>
              </w:rPr>
              <w:t>Eligibility conditions</w:t>
            </w:r>
          </w:p>
        </w:tc>
        <w:tc>
          <w:tcPr>
            <w:tcW w:w="0" w:type="auto"/>
          </w:tcPr>
          <w:p w14:paraId="20C8699E" w14:textId="77777777" w:rsidR="00D84031" w:rsidRDefault="007965BB">
            <w:pPr>
              <w:pStyle w:val="CellTextValue"/>
            </w:pPr>
            <w:r>
              <w:rPr>
                <w:color w:val="000000"/>
              </w:rPr>
              <w:t>The conditions are described in General Annex B. The following exceptions apply:</w:t>
            </w:r>
          </w:p>
          <w:p w14:paraId="4388A8A4" w14:textId="77777777" w:rsidR="00D84031" w:rsidRDefault="007965BB">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D84031" w14:paraId="2AF013DC" w14:textId="77777777">
        <w:tc>
          <w:tcPr>
            <w:tcW w:w="0" w:type="auto"/>
          </w:tcPr>
          <w:p w14:paraId="489BF704" w14:textId="77777777" w:rsidR="00D84031" w:rsidRDefault="007965BB">
            <w:pPr>
              <w:pStyle w:val="CellTextValue"/>
              <w:jc w:val="left"/>
            </w:pPr>
            <w:r>
              <w:rPr>
                <w:i/>
              </w:rPr>
              <w:t>Legal and financial set-up of the Grant Agreements</w:t>
            </w:r>
          </w:p>
        </w:tc>
        <w:tc>
          <w:tcPr>
            <w:tcW w:w="0" w:type="auto"/>
          </w:tcPr>
          <w:p w14:paraId="22603723" w14:textId="77777777" w:rsidR="00D84031" w:rsidRDefault="007965BB">
            <w:pPr>
              <w:pStyle w:val="CellTextValue"/>
            </w:pPr>
            <w:r>
              <w:rPr>
                <w:color w:val="000000"/>
              </w:rPr>
              <w:t>The rules are described in General Annex G. The following exceptions apply:</w:t>
            </w:r>
          </w:p>
          <w:p w14:paraId="602FF5A8"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4"/>
            </w:r>
            <w:r>
              <w:rPr>
                <w:color w:val="000000"/>
              </w:rPr>
              <w:t>.</w:t>
            </w:r>
          </w:p>
        </w:tc>
      </w:tr>
    </w:tbl>
    <w:p w14:paraId="5736B2FE" w14:textId="77777777" w:rsidR="00D84031" w:rsidRDefault="00D84031">
      <w:pPr>
        <w:spacing w:after="0" w:line="150" w:lineRule="auto"/>
      </w:pPr>
    </w:p>
    <w:p w14:paraId="687D8C78" w14:textId="77777777" w:rsidR="00D84031" w:rsidRDefault="007965BB">
      <w:r>
        <w:rPr>
          <w:u w:val="single"/>
        </w:rPr>
        <w:t>Expected Outcome</w:t>
      </w:r>
      <w:r>
        <w:t xml:space="preserve">: </w:t>
      </w:r>
      <w:r>
        <w:rPr>
          <w:color w:val="000000"/>
        </w:rPr>
        <w:t xml:space="preserve">Projects should contribute to all of the following expected </w:t>
      </w:r>
      <w:r>
        <w:rPr>
          <w:color w:val="000000"/>
        </w:rPr>
        <w:t>outcomes.</w:t>
      </w:r>
    </w:p>
    <w:p w14:paraId="3382BB66" w14:textId="77777777" w:rsidR="00D84031" w:rsidRDefault="007965BB" w:rsidP="00C62CF4">
      <w:pPr>
        <w:pStyle w:val="ListParagraph"/>
        <w:numPr>
          <w:ilvl w:val="0"/>
          <w:numId w:val="11"/>
        </w:numPr>
      </w:pPr>
      <w:r>
        <w:rPr>
          <w:color w:val="000000"/>
        </w:rPr>
        <w:t>Country government innovation info sheets, trends, inspiring good practices, the most innovative solutions recently developed or work in progress for next-generation governance and future-informed public decision making in EU Member States and Associated Countries (MS/AC).</w:t>
      </w:r>
    </w:p>
    <w:p w14:paraId="395C0FCC" w14:textId="77777777" w:rsidR="00D84031" w:rsidRDefault="007965BB" w:rsidP="00C62CF4">
      <w:pPr>
        <w:pStyle w:val="ListParagraph"/>
        <w:numPr>
          <w:ilvl w:val="0"/>
          <w:numId w:val="11"/>
        </w:numPr>
      </w:pPr>
      <w:r>
        <w:rPr>
          <w:color w:val="000000"/>
        </w:rPr>
        <w:t>Policy recommendations for both EU level and MS/AC level actions on adopting new governance paradigms, and strategies for enhanced (technical and financial) support for internal government innovation efforts.</w:t>
      </w:r>
    </w:p>
    <w:p w14:paraId="1BD6D37D" w14:textId="77777777" w:rsidR="00D84031" w:rsidRDefault="007965BB" w:rsidP="00C62CF4">
      <w:pPr>
        <w:pStyle w:val="ListParagraph"/>
        <w:numPr>
          <w:ilvl w:val="0"/>
          <w:numId w:val="11"/>
        </w:numPr>
      </w:pPr>
      <w:r>
        <w:rPr>
          <w:color w:val="000000"/>
        </w:rPr>
        <w:t>Publication of lessons learned to enlighten government officials and the public about the often-invisible internal innovation strategies and impactful solutions in national governments.</w:t>
      </w:r>
    </w:p>
    <w:p w14:paraId="1B7C15BD" w14:textId="77777777" w:rsidR="00D84031" w:rsidRDefault="007965BB" w:rsidP="00C62CF4">
      <w:pPr>
        <w:pStyle w:val="ListParagraph"/>
        <w:numPr>
          <w:ilvl w:val="0"/>
          <w:numId w:val="11"/>
        </w:numPr>
      </w:pPr>
      <w:r>
        <w:rPr>
          <w:color w:val="000000"/>
        </w:rPr>
        <w:t>A comprehensive MOOC (Massive Online Open Course) for government officials with relevant examples and cases.</w:t>
      </w:r>
    </w:p>
    <w:p w14:paraId="025AB766" w14:textId="77777777" w:rsidR="00D84031" w:rsidRDefault="007965BB" w:rsidP="00C62CF4">
      <w:pPr>
        <w:pStyle w:val="ListParagraph"/>
        <w:numPr>
          <w:ilvl w:val="0"/>
          <w:numId w:val="11"/>
        </w:numPr>
      </w:pPr>
      <w:r>
        <w:rPr>
          <w:color w:val="000000"/>
        </w:rPr>
        <w:lastRenderedPageBreak/>
        <w:t xml:space="preserve">Fostering of closer ties and collaboration among MS/AC (and any other relevant actors) to leverage national capabilities in innovative governance and maintain peer learning through e.g. relevant networks and knowledge exchange platforms. </w:t>
      </w:r>
    </w:p>
    <w:p w14:paraId="6D3A7F52" w14:textId="77777777" w:rsidR="00D84031" w:rsidRDefault="007965BB">
      <w:r>
        <w:rPr>
          <w:u w:val="single"/>
        </w:rPr>
        <w:t>Scope</w:t>
      </w:r>
      <w:r>
        <w:t xml:space="preserve">: </w:t>
      </w:r>
      <w:r>
        <w:rPr>
          <w:color w:val="000000"/>
        </w:rPr>
        <w:t>In an era characterized by numerous concurrent crises, accelerated technological development, and waning public trust in government, the pivotal objective of this topic is to furnish a precise depiction of the current condition of public service in MS/AC, highlight the substantial challenges governments are endeavouring to manage at the same time, the general state of the civil service and the evolution of related public employment management, including HR policy, the organizational framework conditions c</w:t>
      </w:r>
      <w:r>
        <w:rPr>
          <w:color w:val="000000"/>
        </w:rPr>
        <w:t>onducive to innovation and agile operations, and organizational development efforts. Enhancing government capacities to define strategies and develop complex public policies in a swiftly evolving context is imperative. Traditional methods are increasingly ineffective, necessitating a reinvention of government operations.</w:t>
      </w:r>
    </w:p>
    <w:p w14:paraId="783360A1" w14:textId="77777777" w:rsidR="00D84031" w:rsidRDefault="007965BB">
      <w:r>
        <w:rPr>
          <w:color w:val="000000"/>
        </w:rPr>
        <w:t>This investigation intends to shed light on the disruptions currently reshaping the work of governments, the complex tasks they are grappling with, their internal innovation efforts and change processes little known by the public, and to showcase the immense investment and good practices governments developed and are developing to deal with their core business in radically new ways. Governments take various paths that best suit their ambition, vision, leveraging power and the characteristics of their nation</w:t>
      </w:r>
      <w:r>
        <w:rPr>
          <w:color w:val="000000"/>
        </w:rPr>
        <w:t>al context.</w:t>
      </w:r>
    </w:p>
    <w:p w14:paraId="660EEA5C" w14:textId="77777777" w:rsidR="00D84031" w:rsidRDefault="007965BB">
      <w:r>
        <w:rPr>
          <w:color w:val="000000"/>
          <w:u w:val="single"/>
        </w:rPr>
        <w:t>Proposals are expected to cover all</w:t>
      </w:r>
      <w:r>
        <w:rPr>
          <w:color w:val="000000"/>
        </w:rPr>
        <w:t xml:space="preserve"> three focus areas detailed below:   </w:t>
      </w:r>
    </w:p>
    <w:p w14:paraId="6541BE96" w14:textId="77777777" w:rsidR="00D84031" w:rsidRDefault="007965BB" w:rsidP="00C62CF4">
      <w:pPr>
        <w:pStyle w:val="ListParagraph"/>
        <w:numPr>
          <w:ilvl w:val="0"/>
          <w:numId w:val="12"/>
        </w:numPr>
      </w:pPr>
      <w:r>
        <w:rPr>
          <w:b/>
          <w:color w:val="000000"/>
        </w:rPr>
        <w:t>New governance paradigm:</w:t>
      </w:r>
      <w:r>
        <w:rPr>
          <w:color w:val="000000"/>
        </w:rPr>
        <w:t xml:space="preserve"> Focus on new governance approaches and reforms in response to declining public trust, from preparation for crisis to anticipatory governance, agile leadership, using an innovation portfolio approach to strategic planning, working with the innovation ecosystem in strategic decision-making, the impacts of digital technology (especially the role of AI, automation, the redefinition of tasks), open government approaches, democratic participation and central communication strategies, information flows (including</w:t>
      </w:r>
      <w:r>
        <w:rPr>
          <w:color w:val="000000"/>
        </w:rPr>
        <w:t xml:space="preserve"> social media), and related civil service development governments undertake to stand the ground today and to prepare for tomorrow.</w:t>
      </w:r>
    </w:p>
    <w:p w14:paraId="2639614D" w14:textId="77777777" w:rsidR="00D84031" w:rsidRDefault="007965BB" w:rsidP="00C62CF4">
      <w:pPr>
        <w:pStyle w:val="ListParagraph"/>
        <w:numPr>
          <w:ilvl w:val="0"/>
          <w:numId w:val="12"/>
        </w:numPr>
      </w:pPr>
      <w:r>
        <w:rPr>
          <w:b/>
          <w:color w:val="000000"/>
        </w:rPr>
        <w:t>Innovative approaches to public service and policy development:</w:t>
      </w:r>
      <w:r>
        <w:rPr>
          <w:color w:val="000000"/>
        </w:rPr>
        <w:t xml:space="preserve"> Solving complex issues needs multidisciplinary and innovative approaches to public service delivery, policy- and decision making, such as citizen participation, stakeholder engagement, systems thinking, role of technology/AI and interconnected data systems and experimentation (i.e. evidence-informed policymaking).</w:t>
      </w:r>
    </w:p>
    <w:p w14:paraId="02569487" w14:textId="77777777" w:rsidR="00D84031" w:rsidRDefault="007965BB" w:rsidP="00C62CF4">
      <w:pPr>
        <w:pStyle w:val="ListParagraph"/>
        <w:numPr>
          <w:ilvl w:val="0"/>
          <w:numId w:val="12"/>
        </w:numPr>
      </w:pPr>
      <w:r>
        <w:rPr>
          <w:b/>
          <w:color w:val="000000"/>
        </w:rPr>
        <w:t>New public employment management and civil service empowerment</w:t>
      </w:r>
      <w:r>
        <w:rPr>
          <w:color w:val="000000"/>
        </w:rPr>
        <w:t xml:space="preserve">: Enabling governments to explore possibilities and transforming the civil service through innovation and public intrapreneurship, HR policy, including a public administration health-check, and capacity building (e.g. upskilling, reskilling, future literacy), the organizational framework conditions (also sensitive to the needs of the next generation of civil servants) conducive to innovation and building resilience, and cooperation with </w:t>
      </w:r>
      <w:r>
        <w:rPr>
          <w:color w:val="000000"/>
        </w:rPr>
        <w:lastRenderedPageBreak/>
        <w:t>other EU governments (data exchange, mutual support) while building a m</w:t>
      </w:r>
      <w:r>
        <w:rPr>
          <w:color w:val="000000"/>
        </w:rPr>
        <w:t xml:space="preserve">odern, future-ready civil service.  </w:t>
      </w:r>
    </w:p>
    <w:p w14:paraId="4E8CB271" w14:textId="77777777" w:rsidR="00D84031" w:rsidRDefault="007965BB">
      <w:r>
        <w:rPr>
          <w:color w:val="000000"/>
        </w:rPr>
        <w:t>While national governments in the EU and Associated Countries are the primary focus for this investigation, regional and local governments as well as documented, highly inspirational good practice cases from the global context are of interest to learn from.</w:t>
      </w:r>
    </w:p>
    <w:p w14:paraId="06A68A20" w14:textId="77777777" w:rsidR="00D84031" w:rsidRDefault="007965BB">
      <w:r>
        <w:rPr>
          <w:color w:val="000000"/>
        </w:rPr>
        <w:t>This should give voice to the civil service, examining how civil service officials (in various roles, functions and level of decision making, and in their diversity, including sex, gender, age, socio-economic background, experience level, and other relevant personal characteristics) see the changing role of the state, their own role, organizational framework conditions (i.e. people, knowledge, ways of working, and rules and processes), how they cope under the current pressures, and what their visions, hopes</w:t>
      </w:r>
      <w:r>
        <w:rPr>
          <w:color w:val="000000"/>
        </w:rPr>
        <w:t xml:space="preserve"> and needs are for the future. </w:t>
      </w:r>
    </w:p>
    <w:p w14:paraId="3E0D956A" w14:textId="77777777" w:rsidR="00D84031" w:rsidRDefault="007965BB">
      <w:r>
        <w:rPr>
          <w:color w:val="000000"/>
        </w:rPr>
        <w:t>The research should build on existing work (data, reports, case studies, networks) by EU institutions, international organizations (World Economic Forum, OECD, United Nations, Chandler Institute of Governance, etc.), schools of governance, national governments and innovation agencies in EU Member States, complemented by primary data to be collected through large-scale surveying, in-depth interviews, strategic reflection workshops covering key issues in the public governance domain (e.g. the core tasks of go</w:t>
      </w:r>
      <w:r>
        <w:rPr>
          <w:color w:val="000000"/>
        </w:rPr>
        <w:t>vernment, internal innovation strategies, regaining citizens’ trust, etc.), and key stakeholder engagement. The proposals should elaborate on the planned collection and analysis of the primary data (beyond desk research), and on the proposed engagement with senior officials in national government, at European level and international organizations (as relevant), demonstrating deep reach into the national civil services as key factors for the successful delivery of the work.</w:t>
      </w:r>
    </w:p>
    <w:p w14:paraId="2A29C84B" w14:textId="77777777" w:rsidR="00D84031" w:rsidRDefault="007965BB">
      <w:r>
        <w:rPr>
          <w:b/>
          <w:color w:val="000000"/>
        </w:rPr>
        <w:t xml:space="preserve">Proposals are encouraged to take stock of the uptake of provisions of Commission Communication COM(2023) 667, and seek complementarity with relevant EU-funded projects (e.g. under HORIZON-CL2-2024-DEMOCRACY-01-09), the OECD Observatory of Public Sector Innovation, and the relevant work of the Joint Research Centre of the European Commission. </w:t>
      </w:r>
    </w:p>
    <w:p w14:paraId="1FF5B559" w14:textId="77777777" w:rsidR="00D84031" w:rsidRDefault="007965BB">
      <w:pPr>
        <w:pStyle w:val="HeadingThree"/>
      </w:pPr>
      <w:r>
        <w:t>HORIZON-CL2-2026-01-DEMOCRACY-04: Sustainable paths to media viability</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C62CF4" w14:paraId="4DA46CAB" w14:textId="77777777" w:rsidTr="00C62CF4">
        <w:tc>
          <w:tcPr>
            <w:tcW w:w="0" w:type="auto"/>
            <w:gridSpan w:val="2"/>
          </w:tcPr>
          <w:p w14:paraId="303AD17A" w14:textId="77777777" w:rsidR="00D84031" w:rsidRDefault="007965BB">
            <w:pPr>
              <w:pStyle w:val="CellTextValue"/>
            </w:pPr>
            <w:r>
              <w:rPr>
                <w:b/>
              </w:rPr>
              <w:t>Call: Culture, Creativity and Inclusive Society 2026</w:t>
            </w:r>
          </w:p>
        </w:tc>
      </w:tr>
      <w:tr w:rsidR="00C62CF4" w14:paraId="43F8FD51" w14:textId="77777777" w:rsidTr="00C62CF4">
        <w:tc>
          <w:tcPr>
            <w:tcW w:w="0" w:type="auto"/>
            <w:gridSpan w:val="2"/>
          </w:tcPr>
          <w:p w14:paraId="37E9CBB1" w14:textId="77777777" w:rsidR="00D84031" w:rsidRDefault="007965BB">
            <w:pPr>
              <w:pStyle w:val="CellTextValue"/>
            </w:pPr>
            <w:r>
              <w:rPr>
                <w:b/>
              </w:rPr>
              <w:t>Specific conditions</w:t>
            </w:r>
          </w:p>
        </w:tc>
      </w:tr>
      <w:tr w:rsidR="00D84031" w14:paraId="6965DC9D" w14:textId="77777777">
        <w:tc>
          <w:tcPr>
            <w:tcW w:w="0" w:type="auto"/>
          </w:tcPr>
          <w:p w14:paraId="421AD435" w14:textId="77777777" w:rsidR="00D84031" w:rsidRDefault="007965BB">
            <w:pPr>
              <w:pStyle w:val="CellTextValue"/>
              <w:jc w:val="left"/>
            </w:pPr>
            <w:r>
              <w:rPr>
                <w:i/>
              </w:rPr>
              <w:t>Expected EU contribution per project</w:t>
            </w:r>
          </w:p>
        </w:tc>
        <w:tc>
          <w:tcPr>
            <w:tcW w:w="0" w:type="auto"/>
          </w:tcPr>
          <w:p w14:paraId="1A4BCF8C" w14:textId="77777777" w:rsidR="00D84031" w:rsidRDefault="007965BB">
            <w:pPr>
              <w:pStyle w:val="CellTextValue"/>
            </w:pPr>
            <w:r>
              <w:t xml:space="preserve">The Commission estimates that an EU contribution of between EUR 3.50 and 4.00 million would allow these outcomes to be addressed </w:t>
            </w:r>
            <w:r>
              <w:t>appropriately. Nonetheless, this does not preclude submission and selection of a proposal requesting different amounts.</w:t>
            </w:r>
          </w:p>
        </w:tc>
      </w:tr>
      <w:tr w:rsidR="00D84031" w14:paraId="6F501581" w14:textId="77777777">
        <w:tc>
          <w:tcPr>
            <w:tcW w:w="0" w:type="auto"/>
          </w:tcPr>
          <w:p w14:paraId="03CD5A11" w14:textId="77777777" w:rsidR="00D84031" w:rsidRDefault="007965BB">
            <w:pPr>
              <w:pStyle w:val="CellTextValue"/>
              <w:jc w:val="left"/>
            </w:pPr>
            <w:r>
              <w:rPr>
                <w:i/>
              </w:rPr>
              <w:t>Indicative budget</w:t>
            </w:r>
          </w:p>
        </w:tc>
        <w:tc>
          <w:tcPr>
            <w:tcW w:w="0" w:type="auto"/>
          </w:tcPr>
          <w:p w14:paraId="7804E848" w14:textId="77777777" w:rsidR="00D84031" w:rsidRDefault="007965BB">
            <w:pPr>
              <w:pStyle w:val="CellTextValue"/>
            </w:pPr>
            <w:r>
              <w:t>The total indicative budget for the topic is EUR 12.00 million.</w:t>
            </w:r>
          </w:p>
        </w:tc>
      </w:tr>
      <w:tr w:rsidR="00D84031" w14:paraId="7BB7E9BF" w14:textId="77777777">
        <w:tc>
          <w:tcPr>
            <w:tcW w:w="0" w:type="auto"/>
          </w:tcPr>
          <w:p w14:paraId="6E55DFBC" w14:textId="77777777" w:rsidR="00D84031" w:rsidRDefault="007965BB">
            <w:pPr>
              <w:pStyle w:val="CellTextValue"/>
              <w:jc w:val="left"/>
            </w:pPr>
            <w:r>
              <w:rPr>
                <w:i/>
              </w:rPr>
              <w:t>Type of Action</w:t>
            </w:r>
          </w:p>
        </w:tc>
        <w:tc>
          <w:tcPr>
            <w:tcW w:w="0" w:type="auto"/>
          </w:tcPr>
          <w:p w14:paraId="6F752276" w14:textId="77777777" w:rsidR="00D84031" w:rsidRDefault="007965BB">
            <w:pPr>
              <w:pStyle w:val="CellTextValue"/>
            </w:pPr>
            <w:r>
              <w:rPr>
                <w:color w:val="000000"/>
              </w:rPr>
              <w:t>Innovation Actions</w:t>
            </w:r>
          </w:p>
        </w:tc>
      </w:tr>
      <w:tr w:rsidR="00D84031" w14:paraId="1C957B5A" w14:textId="77777777">
        <w:tc>
          <w:tcPr>
            <w:tcW w:w="0" w:type="auto"/>
          </w:tcPr>
          <w:p w14:paraId="598F3F58" w14:textId="77777777" w:rsidR="00D84031" w:rsidRDefault="007965BB">
            <w:pPr>
              <w:pStyle w:val="CellTextValue"/>
              <w:jc w:val="left"/>
            </w:pPr>
            <w:r>
              <w:rPr>
                <w:i/>
              </w:rPr>
              <w:lastRenderedPageBreak/>
              <w:t>Eligibility conditions</w:t>
            </w:r>
          </w:p>
        </w:tc>
        <w:tc>
          <w:tcPr>
            <w:tcW w:w="0" w:type="auto"/>
          </w:tcPr>
          <w:p w14:paraId="677DEFA7" w14:textId="77777777" w:rsidR="00D84031" w:rsidRDefault="007965BB">
            <w:pPr>
              <w:pStyle w:val="CellTextValue"/>
            </w:pPr>
            <w:r>
              <w:rPr>
                <w:color w:val="000000"/>
              </w:rPr>
              <w:t>The conditions are described in General Annex B. The following exceptions apply:</w:t>
            </w:r>
          </w:p>
          <w:p w14:paraId="655FCDF4" w14:textId="77777777" w:rsidR="00D84031" w:rsidRDefault="007965BB">
            <w:pPr>
              <w:pStyle w:val="CellTextValue"/>
            </w:pPr>
            <w:r>
              <w:rPr>
                <w:color w:val="000000"/>
              </w:rPr>
              <w:t>Subject to restrictions for the protection of European communication networks.</w:t>
            </w:r>
          </w:p>
          <w:p w14:paraId="276D0640" w14:textId="77777777" w:rsidR="00D84031" w:rsidRDefault="007965BB">
            <w:pPr>
              <w:pStyle w:val="CellTextValue"/>
            </w:pPr>
            <w:r>
              <w:rPr>
                <w:color w:val="000000"/>
              </w:rPr>
              <w:t>In order to achieve the expected outcomes, consortia must include, as beneficiaries or affiliated entities, at least one news media organisation</w:t>
            </w:r>
            <w:r>
              <w:rPr>
                <w:vertAlign w:val="superscript"/>
              </w:rPr>
              <w:footnoteReference w:id="25"/>
            </w:r>
            <w:r>
              <w:rPr>
                <w:color w:val="000000"/>
              </w:rPr>
              <w:t>.</w:t>
            </w:r>
          </w:p>
        </w:tc>
      </w:tr>
      <w:tr w:rsidR="00D84031" w14:paraId="662C2676" w14:textId="77777777">
        <w:tc>
          <w:tcPr>
            <w:tcW w:w="0" w:type="auto"/>
          </w:tcPr>
          <w:p w14:paraId="2DA9E4B8" w14:textId="77777777" w:rsidR="00D84031" w:rsidRDefault="007965BB">
            <w:pPr>
              <w:pStyle w:val="CellTextValue"/>
              <w:jc w:val="left"/>
            </w:pPr>
            <w:r>
              <w:rPr>
                <w:i/>
              </w:rPr>
              <w:t>Legal and financial set-up of the Grant Agreements</w:t>
            </w:r>
          </w:p>
        </w:tc>
        <w:tc>
          <w:tcPr>
            <w:tcW w:w="0" w:type="auto"/>
          </w:tcPr>
          <w:p w14:paraId="69B82315" w14:textId="77777777" w:rsidR="00D84031" w:rsidRDefault="007965BB">
            <w:pPr>
              <w:pStyle w:val="CellTextValue"/>
            </w:pPr>
            <w:r>
              <w:rPr>
                <w:color w:val="000000"/>
              </w:rPr>
              <w:t>The rules are described in General Annex G. The following exceptions apply:</w:t>
            </w:r>
          </w:p>
          <w:p w14:paraId="5826DE54"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6"/>
            </w:r>
            <w:r>
              <w:rPr>
                <w:color w:val="000000"/>
              </w:rPr>
              <w:t>.</w:t>
            </w:r>
          </w:p>
        </w:tc>
      </w:tr>
    </w:tbl>
    <w:p w14:paraId="46CC76ED" w14:textId="77777777" w:rsidR="00D84031" w:rsidRDefault="00D84031">
      <w:pPr>
        <w:spacing w:after="0" w:line="150" w:lineRule="auto"/>
      </w:pPr>
    </w:p>
    <w:p w14:paraId="2CFB37D1" w14:textId="77777777" w:rsidR="00D84031" w:rsidRDefault="007965BB">
      <w:r>
        <w:rPr>
          <w:u w:val="single"/>
        </w:rPr>
        <w:t>Expected Outcome</w:t>
      </w:r>
      <w:r>
        <w:t xml:space="preserve">: </w:t>
      </w:r>
      <w:r>
        <w:rPr>
          <w:color w:val="000000"/>
        </w:rPr>
        <w:t>Projects should contribute to all of the following expected outcomes:</w:t>
      </w:r>
    </w:p>
    <w:p w14:paraId="3C991EF9" w14:textId="77777777" w:rsidR="00D84031" w:rsidRDefault="007965BB" w:rsidP="00C62CF4">
      <w:pPr>
        <w:pStyle w:val="ListParagraph"/>
        <w:numPr>
          <w:ilvl w:val="0"/>
          <w:numId w:val="13"/>
        </w:numPr>
      </w:pPr>
      <w:r>
        <w:rPr>
          <w:color w:val="000000"/>
        </w:rPr>
        <w:t>Reinforced digital transformation of the news media industry by facilitating the development of new business models, contributing to a more resilient and inclusive democratic institutional framework.</w:t>
      </w:r>
    </w:p>
    <w:p w14:paraId="59460C53" w14:textId="77777777" w:rsidR="00D84031" w:rsidRDefault="007965BB" w:rsidP="00C62CF4">
      <w:pPr>
        <w:pStyle w:val="ListParagraph"/>
        <w:numPr>
          <w:ilvl w:val="0"/>
          <w:numId w:val="13"/>
        </w:numPr>
      </w:pPr>
      <w:r>
        <w:rPr>
          <w:color w:val="000000"/>
        </w:rPr>
        <w:t xml:space="preserve">Citizens, particularly those facing systemic disadvantages, are empowered and better equipped to make informed decisions, and news media’s role as contributor to a healthy, reinvigorated and fair democracy is enhanced.  </w:t>
      </w:r>
    </w:p>
    <w:p w14:paraId="6F53AC22" w14:textId="77777777" w:rsidR="00D84031" w:rsidRDefault="007965BB">
      <w:r>
        <w:rPr>
          <w:u w:val="single"/>
        </w:rPr>
        <w:t>Scope</w:t>
      </w:r>
      <w:r>
        <w:t xml:space="preserve">: </w:t>
      </w:r>
      <w:r>
        <w:rPr>
          <w:color w:val="000000"/>
        </w:rPr>
        <w:t>Democracies are at risk when reliable and independent journalism is at risk. Yet, in order to be truly independent, media need sustainable financing models. At present, journalistic newsrooms are under severe economic pressure. Social media forces them to compete for citizens’ attention with other forms of infotainment, which sometimes entail unverified opinions and low-quality or malicious sources. To restore a well-informed democratic debate, citizens must be able to distinguish quality journalism abiding</w:t>
      </w:r>
      <w:r>
        <w:rPr>
          <w:color w:val="000000"/>
        </w:rPr>
        <w:t xml:space="preserve"> by professional standards, from opinion pieces and other forms of content. The debate around free speech should be addressed with a solution-driven approach: free speech can co-exist with ecosystems that enhance verified information and empower citizens to recognise it. Such ecosystems need to help distinguish sources that apply journalistic principles, including </w:t>
      </w:r>
      <w:r>
        <w:rPr>
          <w:color w:val="000000"/>
        </w:rPr>
        <w:lastRenderedPageBreak/>
        <w:t xml:space="preserve">methods to ensure accuracy, independence, objectivity, impartiality, inclusivity and plural viewpoints. </w:t>
      </w:r>
    </w:p>
    <w:p w14:paraId="77FF8856" w14:textId="77777777" w:rsidR="00D84031" w:rsidRDefault="007965BB">
      <w:r>
        <w:rPr>
          <w:color w:val="000000"/>
        </w:rPr>
        <w:t>To compete in the digital age, European media need to embrace innovation. The Commission’s 2023 European Media industry outlook</w:t>
      </w:r>
      <w:r>
        <w:rPr>
          <w:vertAlign w:val="superscript"/>
        </w:rPr>
        <w:footnoteReference w:id="27"/>
      </w:r>
      <w:r>
        <w:rPr>
          <w:color w:val="000000"/>
        </w:rPr>
        <w:t xml:space="preserve"> signalled that “an early adoption and usage of new technologies is key to adapt and open new markets”. Thus, applicants are invited to work together with news media organisations from the start to enhance innovation across the news media sectors, including by designing industrial and user-driven applications, on areas and aspects such as:</w:t>
      </w:r>
    </w:p>
    <w:p w14:paraId="211E5257" w14:textId="77777777" w:rsidR="00D84031" w:rsidRDefault="007965BB">
      <w:r>
        <w:rPr>
          <w:color w:val="000000"/>
        </w:rPr>
        <w:t>a) development and take up of methods to recognise content produced with journalistic standards (e.g. through trust indicators, browser plugins, etc.), to categorise such content (e.g. through industry-led crawlers, common taxonomies, metadata standards, etc.) and to promote such content (e.g. through inclusive and transparent news-oriented algorithms, recommender systems that show multiple views and prioritise quality information);</w:t>
      </w:r>
    </w:p>
    <w:p w14:paraId="23499A44" w14:textId="77777777" w:rsidR="00D84031" w:rsidRDefault="007965BB">
      <w:r>
        <w:rPr>
          <w:color w:val="000000"/>
        </w:rPr>
        <w:t>b) identification of AI models that can help media build attractive services (e.g. chat bots, search tools, aggregators) and other relevant models, to eventually help generate revenues (e.g. dynamic paywalls, advertising, copyright revenues, etc.);</w:t>
      </w:r>
    </w:p>
    <w:p w14:paraId="59AFE131" w14:textId="77777777" w:rsidR="00D84031" w:rsidRDefault="007965BB">
      <w:r>
        <w:rPr>
          <w:color w:val="000000"/>
        </w:rPr>
        <w:t>c) innovative methods to ensure user-centric design and user engagement strategies, in compliance with journalistic standards;</w:t>
      </w:r>
    </w:p>
    <w:p w14:paraId="4B5F015F" w14:textId="77777777" w:rsidR="00D84031" w:rsidRDefault="007965BB">
      <w:r>
        <w:rPr>
          <w:color w:val="000000"/>
        </w:rPr>
        <w:t>d) roll-out of these models and methods towards the development of truly pan-European innovative content platforms and/or interoperable standards within the project lifetime;</w:t>
      </w:r>
    </w:p>
    <w:p w14:paraId="16C47AEC" w14:textId="77777777" w:rsidR="00D84031" w:rsidRDefault="007965BB">
      <w:r>
        <w:rPr>
          <w:color w:val="000000"/>
        </w:rPr>
        <w:t>e) initiatives to federate media industries along a joint innovation agenda.</w:t>
      </w:r>
    </w:p>
    <w:p w14:paraId="0AAC684F" w14:textId="77777777" w:rsidR="00D84031" w:rsidRDefault="007965BB">
      <w:r>
        <w:rPr>
          <w:color w:val="000000"/>
        </w:rPr>
        <w:t>Innovation projects should focus on concrete ways to help journalistic content serve democracy by addressing aspects such as:</w:t>
      </w:r>
    </w:p>
    <w:p w14:paraId="132A577F" w14:textId="77777777" w:rsidR="00D84031" w:rsidRDefault="007965BB" w:rsidP="00C62CF4">
      <w:pPr>
        <w:pStyle w:val="ListParagraph"/>
        <w:numPr>
          <w:ilvl w:val="0"/>
          <w:numId w:val="14"/>
        </w:numPr>
      </w:pPr>
      <w:r>
        <w:rPr>
          <w:color w:val="000000"/>
        </w:rPr>
        <w:t>ensuring that journalistic content remains economically viable in AI-intermediated information spaces;</w:t>
      </w:r>
    </w:p>
    <w:p w14:paraId="5A6B70D6" w14:textId="77777777" w:rsidR="00D84031" w:rsidRDefault="007965BB" w:rsidP="00C62CF4">
      <w:pPr>
        <w:pStyle w:val="ListParagraph"/>
        <w:numPr>
          <w:ilvl w:val="0"/>
          <w:numId w:val="14"/>
        </w:numPr>
      </w:pPr>
      <w:r>
        <w:rPr>
          <w:color w:val="000000"/>
        </w:rPr>
        <w:t xml:space="preserve">ensuring that journalistic content retains relevance and </w:t>
      </w:r>
      <w:r>
        <w:rPr>
          <w:color w:val="000000"/>
        </w:rPr>
        <w:t>prominence in AI-driven search tools and future information ecosystems in Europe;</w:t>
      </w:r>
    </w:p>
    <w:p w14:paraId="66D4A971" w14:textId="77777777" w:rsidR="00D84031" w:rsidRDefault="007965BB" w:rsidP="00C62CF4">
      <w:pPr>
        <w:pStyle w:val="ListParagraph"/>
        <w:numPr>
          <w:ilvl w:val="0"/>
          <w:numId w:val="14"/>
        </w:numPr>
      </w:pPr>
      <w:r>
        <w:rPr>
          <w:color w:val="000000"/>
        </w:rPr>
        <w:t>ensuring that algorithms based on journalistic standards (such as accuracy and inclusion) are developed enhancing professional journalism and preserving a trustworthy information ecosystem;</w:t>
      </w:r>
    </w:p>
    <w:p w14:paraId="07753CE1" w14:textId="77777777" w:rsidR="00D84031" w:rsidRDefault="007965BB" w:rsidP="00C62CF4">
      <w:pPr>
        <w:pStyle w:val="ListParagraph"/>
        <w:numPr>
          <w:ilvl w:val="0"/>
          <w:numId w:val="14"/>
        </w:numPr>
      </w:pPr>
      <w:r>
        <w:rPr>
          <w:color w:val="000000"/>
        </w:rPr>
        <w:t>making sure that citizens are confronted with multiple views online to make well-informed decisions;</w:t>
      </w:r>
    </w:p>
    <w:p w14:paraId="37AD3BA3" w14:textId="77777777" w:rsidR="00D84031" w:rsidRDefault="007965BB" w:rsidP="00C62CF4">
      <w:pPr>
        <w:pStyle w:val="ListParagraph"/>
        <w:numPr>
          <w:ilvl w:val="0"/>
          <w:numId w:val="14"/>
        </w:numPr>
      </w:pPr>
      <w:r>
        <w:rPr>
          <w:color w:val="000000"/>
        </w:rPr>
        <w:t>development and integration of journalistic trust indicators in recommender systems, browsers and/or European news aggregators;</w:t>
      </w:r>
    </w:p>
    <w:p w14:paraId="0BD5A307" w14:textId="77777777" w:rsidR="00D84031" w:rsidRDefault="007965BB" w:rsidP="00C62CF4">
      <w:pPr>
        <w:pStyle w:val="ListParagraph"/>
        <w:numPr>
          <w:ilvl w:val="0"/>
          <w:numId w:val="14"/>
        </w:numPr>
      </w:pPr>
      <w:r>
        <w:rPr>
          <w:color w:val="000000"/>
        </w:rPr>
        <w:lastRenderedPageBreak/>
        <w:t>take-up of recommender systems that prioritise trusted sources and professional journalism;</w:t>
      </w:r>
    </w:p>
    <w:p w14:paraId="1DDBE99C" w14:textId="77777777" w:rsidR="00D84031" w:rsidRDefault="007965BB" w:rsidP="00C62CF4">
      <w:pPr>
        <w:pStyle w:val="ListParagraph"/>
        <w:numPr>
          <w:ilvl w:val="0"/>
          <w:numId w:val="14"/>
        </w:numPr>
      </w:pPr>
      <w:r>
        <w:rPr>
          <w:color w:val="000000"/>
        </w:rPr>
        <w:t>development of more lucrative digital advertising models for news producers, through proprietary systems that offer more brand safety and sufficiently detailed feedback to advertisers through joint metadata and audience measurement tools;</w:t>
      </w:r>
    </w:p>
    <w:p w14:paraId="189DC3A4" w14:textId="77777777" w:rsidR="00D84031" w:rsidRDefault="007965BB" w:rsidP="00C62CF4">
      <w:pPr>
        <w:pStyle w:val="ListParagraph"/>
        <w:numPr>
          <w:ilvl w:val="0"/>
          <w:numId w:val="14"/>
        </w:numPr>
      </w:pPr>
      <w:r>
        <w:rPr>
          <w:color w:val="000000"/>
        </w:rPr>
        <w:t>development of EU-level business case studies, explaining their impact on creation of advertising revenues, subscription revenues, etc.;</w:t>
      </w:r>
    </w:p>
    <w:p w14:paraId="7767265E" w14:textId="77777777" w:rsidR="00D84031" w:rsidRDefault="007965BB" w:rsidP="00C62CF4">
      <w:pPr>
        <w:pStyle w:val="ListParagraph"/>
        <w:numPr>
          <w:ilvl w:val="0"/>
          <w:numId w:val="14"/>
        </w:numPr>
      </w:pPr>
      <w:r>
        <w:rPr>
          <w:color w:val="000000"/>
        </w:rPr>
        <w:t xml:space="preserve">development and adoption of prototypes for recommender systems, proprietary crawlers, proprietary metadata generators, paywalls, advertising systems or other revenue-generating systems that can strengthen the economic viability of journalism.  </w:t>
      </w:r>
    </w:p>
    <w:p w14:paraId="4B37E267" w14:textId="77777777" w:rsidR="00D84031" w:rsidRDefault="007965BB">
      <w:r>
        <w:rPr>
          <w:color w:val="000000"/>
        </w:rPr>
        <w:t>Projects are encouraged to involve the relevant parts of the news media ecosystems to ensure take-up of the proposed models. All news media segments are eligible under this action (public, private media, sectoral media, etc) and collaboration across segments and across borders is encouraged. The participation in the consortia of research and academic actors from relevant disciplines, such as information science and media studies, as well as tech companies (e.g. ad-tech or other) to build workable prototypes</w:t>
      </w:r>
      <w:r>
        <w:rPr>
          <w:color w:val="000000"/>
        </w:rPr>
        <w:t>, is strongly encouraged. Where applicable, applicants should leverage the data and services available through European Research Infrastructures federated under the European Open Science Cloud (EOSC), as well as data from relevant Data Spaces.</w:t>
      </w:r>
    </w:p>
    <w:p w14:paraId="39F565CE" w14:textId="77777777" w:rsidR="00D84031" w:rsidRDefault="007965BB">
      <w:r>
        <w:rPr>
          <w:color w:val="000000"/>
        </w:rPr>
        <w:t>Clustering and cooperation among the selected projects under this topic are strongly encouraged.</w:t>
      </w:r>
    </w:p>
    <w:p w14:paraId="164F6841" w14:textId="77777777" w:rsidR="00D84031" w:rsidRDefault="007965BB">
      <w:pPr>
        <w:pStyle w:val="HeadingThree"/>
      </w:pPr>
      <w:r>
        <w:t>HORIZON-CL2-2026-01-DEMOCRACY-05: Research and Innovation Network for a Union of Equality</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47368047" w14:textId="77777777" w:rsidTr="00C62CF4">
        <w:tc>
          <w:tcPr>
            <w:tcW w:w="0" w:type="auto"/>
            <w:gridSpan w:val="2"/>
          </w:tcPr>
          <w:p w14:paraId="7F5F45F9" w14:textId="77777777" w:rsidR="00D84031" w:rsidRDefault="007965BB">
            <w:pPr>
              <w:pStyle w:val="CellTextValue"/>
            </w:pPr>
            <w:r>
              <w:rPr>
                <w:b/>
              </w:rPr>
              <w:t>Call: Culture, Creativity and Inclusive Society 2026</w:t>
            </w:r>
          </w:p>
        </w:tc>
      </w:tr>
      <w:tr w:rsidR="00C62CF4" w14:paraId="0660479D" w14:textId="77777777" w:rsidTr="00C62CF4">
        <w:tc>
          <w:tcPr>
            <w:tcW w:w="0" w:type="auto"/>
            <w:gridSpan w:val="2"/>
          </w:tcPr>
          <w:p w14:paraId="10E3F3AB" w14:textId="77777777" w:rsidR="00D84031" w:rsidRDefault="007965BB">
            <w:pPr>
              <w:pStyle w:val="CellTextValue"/>
            </w:pPr>
            <w:r>
              <w:rPr>
                <w:b/>
              </w:rPr>
              <w:t>Specific conditions</w:t>
            </w:r>
          </w:p>
        </w:tc>
      </w:tr>
      <w:tr w:rsidR="00D84031" w14:paraId="57ABF96C" w14:textId="77777777">
        <w:tc>
          <w:tcPr>
            <w:tcW w:w="0" w:type="auto"/>
          </w:tcPr>
          <w:p w14:paraId="36A814CC" w14:textId="77777777" w:rsidR="00D84031" w:rsidRDefault="007965BB">
            <w:pPr>
              <w:pStyle w:val="CellTextValue"/>
              <w:jc w:val="left"/>
            </w:pPr>
            <w:r>
              <w:rPr>
                <w:i/>
              </w:rPr>
              <w:t>Expected EU contribution per project</w:t>
            </w:r>
          </w:p>
        </w:tc>
        <w:tc>
          <w:tcPr>
            <w:tcW w:w="0" w:type="auto"/>
          </w:tcPr>
          <w:p w14:paraId="6932A9E1" w14:textId="77777777" w:rsidR="00D84031" w:rsidRDefault="007965BB">
            <w:pPr>
              <w:pStyle w:val="CellTextValue"/>
            </w:pPr>
            <w:r>
              <w:t xml:space="preserve">The Commission estimates that </w:t>
            </w:r>
            <w:r>
              <w:t>an EU contribution of between EUR 4.00 and 4.50 million would allow these outcomes to be addressed appropriately. Nonetheless, this does not preclude submission and selection of a proposal requesting different amounts.</w:t>
            </w:r>
          </w:p>
        </w:tc>
      </w:tr>
      <w:tr w:rsidR="00D84031" w14:paraId="0E7C9446" w14:textId="77777777">
        <w:tc>
          <w:tcPr>
            <w:tcW w:w="0" w:type="auto"/>
          </w:tcPr>
          <w:p w14:paraId="7B8C9885" w14:textId="77777777" w:rsidR="00D84031" w:rsidRDefault="007965BB">
            <w:pPr>
              <w:pStyle w:val="CellTextValue"/>
              <w:jc w:val="left"/>
            </w:pPr>
            <w:r>
              <w:rPr>
                <w:i/>
              </w:rPr>
              <w:t>Indicative budget</w:t>
            </w:r>
          </w:p>
        </w:tc>
        <w:tc>
          <w:tcPr>
            <w:tcW w:w="0" w:type="auto"/>
          </w:tcPr>
          <w:p w14:paraId="5BC422EC" w14:textId="77777777" w:rsidR="00D84031" w:rsidRDefault="007965BB">
            <w:pPr>
              <w:pStyle w:val="CellTextValue"/>
            </w:pPr>
            <w:r>
              <w:t>The total indicative budget for the topic is EUR 4.50 million.</w:t>
            </w:r>
          </w:p>
        </w:tc>
      </w:tr>
      <w:tr w:rsidR="00D84031" w14:paraId="473B32C5" w14:textId="77777777">
        <w:tc>
          <w:tcPr>
            <w:tcW w:w="0" w:type="auto"/>
          </w:tcPr>
          <w:p w14:paraId="5C51016B" w14:textId="77777777" w:rsidR="00D84031" w:rsidRDefault="007965BB">
            <w:pPr>
              <w:pStyle w:val="CellTextValue"/>
              <w:jc w:val="left"/>
            </w:pPr>
            <w:r>
              <w:rPr>
                <w:i/>
              </w:rPr>
              <w:t>Type of Action</w:t>
            </w:r>
          </w:p>
        </w:tc>
        <w:tc>
          <w:tcPr>
            <w:tcW w:w="0" w:type="auto"/>
          </w:tcPr>
          <w:p w14:paraId="2AB0445B" w14:textId="77777777" w:rsidR="00D84031" w:rsidRDefault="007965BB">
            <w:pPr>
              <w:pStyle w:val="CellTextValue"/>
            </w:pPr>
            <w:r>
              <w:rPr>
                <w:color w:val="000000"/>
              </w:rPr>
              <w:t>Coordination and Support Actions</w:t>
            </w:r>
          </w:p>
        </w:tc>
      </w:tr>
      <w:tr w:rsidR="00D84031" w14:paraId="7B61AA98" w14:textId="77777777">
        <w:tc>
          <w:tcPr>
            <w:tcW w:w="0" w:type="auto"/>
          </w:tcPr>
          <w:p w14:paraId="451795FE" w14:textId="77777777" w:rsidR="00D84031" w:rsidRDefault="007965BB">
            <w:pPr>
              <w:pStyle w:val="CellTextValue"/>
              <w:jc w:val="left"/>
            </w:pPr>
            <w:r>
              <w:rPr>
                <w:i/>
              </w:rPr>
              <w:t>Eligibility conditions</w:t>
            </w:r>
          </w:p>
        </w:tc>
        <w:tc>
          <w:tcPr>
            <w:tcW w:w="0" w:type="auto"/>
          </w:tcPr>
          <w:p w14:paraId="34E216BA" w14:textId="77777777" w:rsidR="00D84031" w:rsidRDefault="007965BB">
            <w:pPr>
              <w:pStyle w:val="CellTextValue"/>
            </w:pPr>
            <w:r>
              <w:rPr>
                <w:color w:val="000000"/>
              </w:rPr>
              <w:t>The conditions are described in General Annex B. The following exceptions apply:</w:t>
            </w:r>
          </w:p>
          <w:p w14:paraId="608EB529" w14:textId="77777777" w:rsidR="00D84031" w:rsidRDefault="007965BB">
            <w:pPr>
              <w:pStyle w:val="CellTextValue"/>
            </w:pPr>
            <w:r>
              <w:rPr>
                <w:color w:val="000000"/>
              </w:rPr>
              <w:t xml:space="preserve">Due to the scope of this topic, legal entities </w:t>
            </w:r>
            <w:r>
              <w:rPr>
                <w:color w:val="000000"/>
              </w:rPr>
              <w:t xml:space="preserve">established in non-associated third countries may exceptionally participate in this </w:t>
            </w:r>
            <w:r>
              <w:rPr>
                <w:color w:val="000000"/>
              </w:rPr>
              <w:lastRenderedPageBreak/>
              <w:t>Coordination and Support Action as a beneficiary or affiliated entity and are exceptionally eligible for Union funding.</w:t>
            </w:r>
          </w:p>
          <w:p w14:paraId="5DC8CCB2" w14:textId="77777777" w:rsidR="00D84031" w:rsidRDefault="007965BB">
            <w:pPr>
              <w:pStyle w:val="CellTextValue"/>
            </w:pPr>
            <w:r>
              <w:rPr>
                <w:color w:val="000000"/>
              </w:rPr>
              <w:t>If eligible for funding, legal entities established in non-associated third countries may exceptionally participate in this Coordination and support action as a beneficiary or affiliated entity.</w:t>
            </w:r>
          </w:p>
        </w:tc>
      </w:tr>
      <w:tr w:rsidR="00D84031" w14:paraId="74767084" w14:textId="77777777">
        <w:tc>
          <w:tcPr>
            <w:tcW w:w="0" w:type="auto"/>
          </w:tcPr>
          <w:p w14:paraId="6CDA7291" w14:textId="77777777" w:rsidR="00D84031" w:rsidRDefault="007965BB">
            <w:pPr>
              <w:pStyle w:val="CellTextValue"/>
              <w:jc w:val="left"/>
            </w:pPr>
            <w:r>
              <w:rPr>
                <w:i/>
              </w:rPr>
              <w:lastRenderedPageBreak/>
              <w:t>Procedure</w:t>
            </w:r>
          </w:p>
        </w:tc>
        <w:tc>
          <w:tcPr>
            <w:tcW w:w="0" w:type="auto"/>
          </w:tcPr>
          <w:p w14:paraId="136A0D81" w14:textId="77777777" w:rsidR="00D84031" w:rsidRDefault="007965BB">
            <w:pPr>
              <w:pStyle w:val="CellTextValue"/>
            </w:pPr>
            <w:r>
              <w:rPr>
                <w:color w:val="000000"/>
              </w:rPr>
              <w:t>The procedure is described in General Annex F. The following exceptions apply:</w:t>
            </w:r>
          </w:p>
          <w:p w14:paraId="6694C5D5" w14:textId="77777777" w:rsidR="00D84031" w:rsidRDefault="007965BB">
            <w:pPr>
              <w:pStyle w:val="CellTextValue"/>
            </w:pPr>
            <w:r>
              <w:rPr>
                <w:color w:val="000000"/>
              </w:rPr>
              <w:t>The granting authority can fund a maximum of one project.</w:t>
            </w:r>
          </w:p>
        </w:tc>
      </w:tr>
      <w:tr w:rsidR="00D84031" w14:paraId="7971CEB1" w14:textId="77777777">
        <w:tc>
          <w:tcPr>
            <w:tcW w:w="0" w:type="auto"/>
          </w:tcPr>
          <w:p w14:paraId="7EC7669E" w14:textId="77777777" w:rsidR="00D84031" w:rsidRDefault="007965BB">
            <w:pPr>
              <w:pStyle w:val="CellTextValue"/>
              <w:jc w:val="left"/>
            </w:pPr>
            <w:r>
              <w:rPr>
                <w:i/>
              </w:rPr>
              <w:t>Legal and financial set-up of the Grant Agreements</w:t>
            </w:r>
          </w:p>
        </w:tc>
        <w:tc>
          <w:tcPr>
            <w:tcW w:w="0" w:type="auto"/>
          </w:tcPr>
          <w:p w14:paraId="42B8C68A" w14:textId="77777777" w:rsidR="00D84031" w:rsidRDefault="007965BB">
            <w:pPr>
              <w:pStyle w:val="CellTextValue"/>
            </w:pPr>
            <w:r>
              <w:rPr>
                <w:color w:val="000000"/>
              </w:rPr>
              <w:t>The rules are described in General Annex G. The following exceptions apply:</w:t>
            </w:r>
          </w:p>
          <w:p w14:paraId="45A581CF"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8"/>
            </w:r>
            <w:r>
              <w:rPr>
                <w:color w:val="000000"/>
              </w:rPr>
              <w:t>.</w:t>
            </w:r>
          </w:p>
        </w:tc>
      </w:tr>
    </w:tbl>
    <w:p w14:paraId="1E135D1B" w14:textId="77777777" w:rsidR="00D84031" w:rsidRDefault="00D84031">
      <w:pPr>
        <w:spacing w:after="0" w:line="150" w:lineRule="auto"/>
      </w:pPr>
    </w:p>
    <w:p w14:paraId="67E79193" w14:textId="77777777" w:rsidR="00D84031" w:rsidRDefault="007965BB">
      <w:r>
        <w:rPr>
          <w:u w:val="single"/>
        </w:rPr>
        <w:t>Expected Outcome</w:t>
      </w:r>
      <w:r>
        <w:t xml:space="preserve">: </w:t>
      </w:r>
      <w:r>
        <w:rPr>
          <w:color w:val="000000"/>
        </w:rPr>
        <w:t>Projects should contribute to all of the following expected outcomes:</w:t>
      </w:r>
    </w:p>
    <w:p w14:paraId="39C89A28" w14:textId="77777777" w:rsidR="00D84031" w:rsidRDefault="007965BB" w:rsidP="00C62CF4">
      <w:pPr>
        <w:pStyle w:val="ListParagraph"/>
        <w:numPr>
          <w:ilvl w:val="0"/>
          <w:numId w:val="15"/>
        </w:numPr>
      </w:pPr>
      <w:r>
        <w:rPr>
          <w:color w:val="000000"/>
        </w:rPr>
        <w:t xml:space="preserve">Policymakers are equipped with the knowledge and tools to integrate inclusive and intersectional perspectives into their policymaking, which strengthens their </w:t>
      </w:r>
      <w:r>
        <w:rPr>
          <w:color w:val="000000"/>
        </w:rPr>
        <w:t>capacity to promote and protect democracy, fundamental rights, and EU values.</w:t>
      </w:r>
    </w:p>
    <w:p w14:paraId="5FCEBDA1" w14:textId="77777777" w:rsidR="00D84031" w:rsidRDefault="007965BB" w:rsidP="00C62CF4">
      <w:pPr>
        <w:pStyle w:val="ListParagraph"/>
        <w:numPr>
          <w:ilvl w:val="0"/>
          <w:numId w:val="15"/>
        </w:numPr>
      </w:pPr>
      <w:r>
        <w:rPr>
          <w:color w:val="000000"/>
        </w:rPr>
        <w:t>Researchers gain insights on how to translate their findings on intersectional inequalities and democracy into actionable, evidence-based recommendations, enabling them to effectively inform policy and practice at local, regional, national, and EU levels.</w:t>
      </w:r>
    </w:p>
    <w:p w14:paraId="194DC62C" w14:textId="77777777" w:rsidR="00D84031" w:rsidRDefault="007965BB" w:rsidP="00C62CF4">
      <w:pPr>
        <w:pStyle w:val="ListParagraph"/>
        <w:numPr>
          <w:ilvl w:val="0"/>
          <w:numId w:val="15"/>
        </w:numPr>
      </w:pPr>
      <w:r>
        <w:rPr>
          <w:color w:val="000000"/>
        </w:rPr>
        <w:t xml:space="preserve">Innovative solutions developed under Horizon Europe and other EU-funding programmes empower citizens across diverse demographics, including marginalised and vulnerable groups, to participate in democratic processes and decision-making, fostering a more inclusive, participatory, and democratic Europe.  </w:t>
      </w:r>
    </w:p>
    <w:p w14:paraId="57B8430D" w14:textId="77777777" w:rsidR="00D84031" w:rsidRDefault="007965BB">
      <w:r>
        <w:rPr>
          <w:u w:val="single"/>
        </w:rPr>
        <w:t>Scope</w:t>
      </w:r>
      <w:r>
        <w:t xml:space="preserve">: </w:t>
      </w:r>
      <w:r>
        <w:rPr>
          <w:color w:val="000000"/>
        </w:rPr>
        <w:t>This call topic aims to establish a Research and Innovation Network for a Union of Equality. The proposed network should bring together academic institutions, public bodies and civil society organisations to collaborate and promote the advancement of inclusive, equal, and resilient democratic societies.</w:t>
      </w:r>
    </w:p>
    <w:p w14:paraId="52F124FC" w14:textId="77777777" w:rsidR="00D84031" w:rsidRDefault="007965BB">
      <w:r>
        <w:rPr>
          <w:color w:val="000000"/>
        </w:rPr>
        <w:t xml:space="preserve">The proposed network should contribute to the development of a comprehensive approach to democracy, fostering a culture of participation and inclusivity, and promoting the EU values of equality, justice, and human rights. It should also address how equality and </w:t>
      </w:r>
      <w:r>
        <w:rPr>
          <w:color w:val="000000"/>
        </w:rPr>
        <w:lastRenderedPageBreak/>
        <w:t>intersectionality are defined across the EU’s diverse socio-political landscapes to ensure inclusive policies that account for varying cultural and social contexts. It could also reflect on how to foster the implementation of existing EU strategies under the Union of Equality.</w:t>
      </w:r>
      <w:r>
        <w:rPr>
          <w:vertAlign w:val="superscript"/>
        </w:rPr>
        <w:footnoteReference w:id="29"/>
      </w:r>
    </w:p>
    <w:p w14:paraId="0824BA88" w14:textId="77777777" w:rsidR="00D84031" w:rsidRDefault="007965BB">
      <w:r>
        <w:rPr>
          <w:color w:val="000000"/>
        </w:rPr>
        <w:t xml:space="preserve">The network should support the implementation of gender-inclusive and intersectional strategies to combat disinformation, reduce societal polarisation, and re-engage citizens in democratic practices. These efforts could also aim at promoting critical thinking, media literacy, and active civic participation across diverse groups including youth and underrepresented groups. The network could also leverage foresight to anticipate emerging challenges to democracy and inform effective policy responses. Its work </w:t>
      </w:r>
      <w:r>
        <w:rPr>
          <w:color w:val="000000"/>
        </w:rPr>
        <w:t>should be informed by close contact with elected representatives at local, regional, national and EU levels.</w:t>
      </w:r>
    </w:p>
    <w:p w14:paraId="0414A4DD" w14:textId="77777777" w:rsidR="00D84031" w:rsidRDefault="007965BB">
      <w:r>
        <w:rPr>
          <w:color w:val="000000"/>
        </w:rPr>
        <w:t>As soon as possible in the network’s lifecycle, a dedicated online platform should be established to share evidence-based recommendations and innovative solutions to strengthen democratic practices based on Horizon Europe projects’ results and other relevant sources. This platform should be backed by a comprehensive repository that gathers information on existing tools, trainings, data, including disaggregated data, and methodologies for gender mainstreaming and addressing intersectional inequalities. It co</w:t>
      </w:r>
      <w:r>
        <w:rPr>
          <w:color w:val="000000"/>
        </w:rPr>
        <w:t>uld also include a collaborative webpage for stakeholders to share information on events, calls for papers, and funding opportunities related to inclusive democracy, gender equality, and intersectionality.</w:t>
      </w:r>
    </w:p>
    <w:p w14:paraId="27056144" w14:textId="77777777" w:rsidR="00D84031" w:rsidRDefault="007965BB">
      <w:r>
        <w:rPr>
          <w:color w:val="000000"/>
        </w:rPr>
        <w:t>The network should ensure and support the translation of research findings (including from SSH disciplines) into actionable, evidence-based proposals, and to enable the development of practical and effective recommendations that drive positive change at different level of actions (local, national, supranational). Living labs and innovation hubs could be used to provide a collaborative environment for stakeholders to co-create and test solutions.</w:t>
      </w:r>
    </w:p>
    <w:p w14:paraId="14714346" w14:textId="77777777" w:rsidR="00D84031" w:rsidRDefault="007965BB">
      <w:r>
        <w:rPr>
          <w:color w:val="000000"/>
        </w:rPr>
        <w:t xml:space="preserve">To foster collaboration and drive progress, the network should host an annual thematic forum, providing a platform for stakeholders and policymakers to share innovative ideas, receive feedback, and learn from one another. </w:t>
      </w:r>
    </w:p>
    <w:p w14:paraId="582E988A" w14:textId="77777777" w:rsidR="00D84031" w:rsidRDefault="007965BB">
      <w:r>
        <w:rPr>
          <w:color w:val="000000"/>
        </w:rPr>
        <w:t>As a research and innovation area where freedom of science is enshrined and protected, the European Union offers an ideal environment to advance a career. Therefore, the network should also explore how to ensure a safe and enabling research environment, protecting researchers from backlash, hate speech and harassment, and promoting academic freedom and integrity when researching on democracy, inclusive societies, and intersectionality.</w:t>
      </w:r>
    </w:p>
    <w:p w14:paraId="0E9EC43F" w14:textId="77777777" w:rsidR="00D84031" w:rsidRDefault="007965BB">
      <w:r>
        <w:rPr>
          <w:color w:val="000000"/>
        </w:rPr>
        <w:t xml:space="preserve">The network’s actions should contribute to ensuring that the results and innovations generated by Horizon Europe projects related to inclusiveness in the public space, democracy, and governance are taken up and made available to relevant stakeholders. It could particularly </w:t>
      </w:r>
      <w:r>
        <w:rPr>
          <w:color w:val="000000"/>
        </w:rPr>
        <w:lastRenderedPageBreak/>
        <w:t>build on past and on-going EU-funded projects, such as those under the topics HORIZON-CL2-2021-DEMOCRACY-01-03, HORIZON-CL2-2022-TRANSFORMATIONS-01-05; HORIZON-CL2-2022-TRANSFORMATIONS-01-08 and HORIZON-CL2-2024-DEMOCRACY-01-05.</w:t>
      </w:r>
    </w:p>
    <w:p w14:paraId="7BDB5DC1" w14:textId="77777777" w:rsidR="00D84031" w:rsidRDefault="007965BB">
      <w:r>
        <w:rPr>
          <w:color w:val="000000"/>
        </w:rPr>
        <w:t>The action to be funded should have a minimum duration of 4 years.</w:t>
      </w:r>
    </w:p>
    <w:p w14:paraId="29A8B026" w14:textId="77777777" w:rsidR="00D84031" w:rsidRDefault="007965BB">
      <w:pPr>
        <w:pStyle w:val="HeadingThree"/>
      </w:pPr>
      <w:r>
        <w:t>HORIZON-CL2-2026-01-DEMOCRACY-06: Governing global commons sustainably</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6"/>
        <w:gridCol w:w="7186"/>
      </w:tblGrid>
      <w:tr w:rsidR="00C62CF4" w14:paraId="2ADE43F9" w14:textId="77777777" w:rsidTr="00C62CF4">
        <w:tc>
          <w:tcPr>
            <w:tcW w:w="0" w:type="auto"/>
            <w:gridSpan w:val="2"/>
          </w:tcPr>
          <w:p w14:paraId="477A5F2C" w14:textId="77777777" w:rsidR="00D84031" w:rsidRDefault="007965BB">
            <w:pPr>
              <w:pStyle w:val="CellTextValue"/>
            </w:pPr>
            <w:r>
              <w:rPr>
                <w:b/>
              </w:rPr>
              <w:t xml:space="preserve">Call: Culture, </w:t>
            </w:r>
            <w:r>
              <w:rPr>
                <w:b/>
              </w:rPr>
              <w:t>Creativity and Inclusive Society 2026</w:t>
            </w:r>
          </w:p>
        </w:tc>
      </w:tr>
      <w:tr w:rsidR="00C62CF4" w14:paraId="73E8484F" w14:textId="77777777" w:rsidTr="00C62CF4">
        <w:tc>
          <w:tcPr>
            <w:tcW w:w="0" w:type="auto"/>
            <w:gridSpan w:val="2"/>
          </w:tcPr>
          <w:p w14:paraId="2BE280C6" w14:textId="77777777" w:rsidR="00D84031" w:rsidRDefault="007965BB">
            <w:pPr>
              <w:pStyle w:val="CellTextValue"/>
            </w:pPr>
            <w:r>
              <w:rPr>
                <w:b/>
              </w:rPr>
              <w:t>Specific conditions</w:t>
            </w:r>
          </w:p>
        </w:tc>
      </w:tr>
      <w:tr w:rsidR="00D84031" w14:paraId="07E083E5" w14:textId="77777777">
        <w:tc>
          <w:tcPr>
            <w:tcW w:w="0" w:type="auto"/>
          </w:tcPr>
          <w:p w14:paraId="312AF0AB" w14:textId="77777777" w:rsidR="00D84031" w:rsidRDefault="007965BB">
            <w:pPr>
              <w:pStyle w:val="CellTextValue"/>
              <w:jc w:val="left"/>
            </w:pPr>
            <w:r>
              <w:rPr>
                <w:i/>
              </w:rPr>
              <w:t>Expected EU contribution per project</w:t>
            </w:r>
          </w:p>
        </w:tc>
        <w:tc>
          <w:tcPr>
            <w:tcW w:w="0" w:type="auto"/>
          </w:tcPr>
          <w:p w14:paraId="575F8E3C" w14:textId="77777777" w:rsidR="00D84031" w:rsidRDefault="007965BB">
            <w:pPr>
              <w:pStyle w:val="CellTextValue"/>
            </w:pPr>
            <w:r>
              <w:t xml:space="preserve">The Commission estimates that an EU contribution of between EUR 3.50 and 4.00 million would allow these outcomes to be addressed appropriately. </w:t>
            </w:r>
            <w:r>
              <w:t>Nonetheless, this does not preclude submission and selection of a proposal requesting different amounts.</w:t>
            </w:r>
          </w:p>
        </w:tc>
      </w:tr>
      <w:tr w:rsidR="00D84031" w14:paraId="2818C402" w14:textId="77777777">
        <w:tc>
          <w:tcPr>
            <w:tcW w:w="0" w:type="auto"/>
          </w:tcPr>
          <w:p w14:paraId="4B30917A" w14:textId="77777777" w:rsidR="00D84031" w:rsidRDefault="007965BB">
            <w:pPr>
              <w:pStyle w:val="CellTextValue"/>
              <w:jc w:val="left"/>
            </w:pPr>
            <w:r>
              <w:rPr>
                <w:i/>
              </w:rPr>
              <w:t>Indicative budget</w:t>
            </w:r>
          </w:p>
        </w:tc>
        <w:tc>
          <w:tcPr>
            <w:tcW w:w="0" w:type="auto"/>
          </w:tcPr>
          <w:p w14:paraId="2149D262" w14:textId="77777777" w:rsidR="00D84031" w:rsidRDefault="007965BB">
            <w:pPr>
              <w:pStyle w:val="CellTextValue"/>
            </w:pPr>
            <w:r>
              <w:t>The total indicative budget for the topic is EUR 12.00 million.</w:t>
            </w:r>
          </w:p>
        </w:tc>
      </w:tr>
      <w:tr w:rsidR="00D84031" w14:paraId="6E941B09" w14:textId="77777777">
        <w:tc>
          <w:tcPr>
            <w:tcW w:w="0" w:type="auto"/>
          </w:tcPr>
          <w:p w14:paraId="5924425D" w14:textId="77777777" w:rsidR="00D84031" w:rsidRDefault="007965BB">
            <w:pPr>
              <w:pStyle w:val="CellTextValue"/>
              <w:jc w:val="left"/>
            </w:pPr>
            <w:r>
              <w:rPr>
                <w:i/>
              </w:rPr>
              <w:t>Type of Action</w:t>
            </w:r>
          </w:p>
        </w:tc>
        <w:tc>
          <w:tcPr>
            <w:tcW w:w="0" w:type="auto"/>
          </w:tcPr>
          <w:p w14:paraId="5F12C81E" w14:textId="77777777" w:rsidR="00D84031" w:rsidRDefault="007965BB">
            <w:pPr>
              <w:pStyle w:val="CellTextValue"/>
            </w:pPr>
            <w:r>
              <w:rPr>
                <w:color w:val="000000"/>
              </w:rPr>
              <w:t>Research and Innovation Actions</w:t>
            </w:r>
          </w:p>
        </w:tc>
      </w:tr>
      <w:tr w:rsidR="00D84031" w14:paraId="2662A869" w14:textId="77777777">
        <w:tc>
          <w:tcPr>
            <w:tcW w:w="0" w:type="auto"/>
          </w:tcPr>
          <w:p w14:paraId="42DE16F0" w14:textId="77777777" w:rsidR="00D84031" w:rsidRDefault="007965BB">
            <w:pPr>
              <w:pStyle w:val="CellTextValue"/>
              <w:jc w:val="left"/>
            </w:pPr>
            <w:r>
              <w:rPr>
                <w:i/>
              </w:rPr>
              <w:t>Procedure</w:t>
            </w:r>
          </w:p>
        </w:tc>
        <w:tc>
          <w:tcPr>
            <w:tcW w:w="0" w:type="auto"/>
          </w:tcPr>
          <w:p w14:paraId="5D22D9F7" w14:textId="77777777" w:rsidR="00D84031" w:rsidRDefault="007965BB">
            <w:pPr>
              <w:pStyle w:val="CellTextValue"/>
            </w:pPr>
            <w:r>
              <w:rPr>
                <w:color w:val="000000"/>
              </w:rPr>
              <w:t xml:space="preserve">The </w:t>
            </w:r>
            <w:r>
              <w:rPr>
                <w:color w:val="000000"/>
              </w:rPr>
              <w:t>procedure is described in General Annex F. The following exceptions apply:</w:t>
            </w:r>
          </w:p>
          <w:p w14:paraId="1D10BE56" w14:textId="77777777" w:rsidR="00D84031" w:rsidRDefault="007965BB">
            <w:pPr>
              <w:pStyle w:val="CellTextValue"/>
            </w:pPr>
            <w:r>
              <w:rPr>
                <w:color w:val="000000"/>
              </w:rPr>
              <w:t>To ensure a balanced portfolio covering the topic’s different thematic areas, grants will be awarded to applications not only in order of ranking but at least also to those that are the highest ranked within each area provided in the scope (areas A, B, and C), provided that the corresponding applications attain all thresholds. Proposals should clearly indicate the thematic area(s) they have selected to work on.</w:t>
            </w:r>
          </w:p>
        </w:tc>
      </w:tr>
      <w:tr w:rsidR="00D84031" w14:paraId="60E7867A" w14:textId="77777777">
        <w:tc>
          <w:tcPr>
            <w:tcW w:w="0" w:type="auto"/>
          </w:tcPr>
          <w:p w14:paraId="31E37C58" w14:textId="77777777" w:rsidR="00D84031" w:rsidRDefault="007965BB">
            <w:pPr>
              <w:pStyle w:val="CellTextValue"/>
              <w:jc w:val="left"/>
            </w:pPr>
            <w:r>
              <w:rPr>
                <w:i/>
              </w:rPr>
              <w:t>Legal and financial set-up of the Grant Agreements</w:t>
            </w:r>
          </w:p>
        </w:tc>
        <w:tc>
          <w:tcPr>
            <w:tcW w:w="0" w:type="auto"/>
          </w:tcPr>
          <w:p w14:paraId="7F25F848" w14:textId="77777777" w:rsidR="00D84031" w:rsidRDefault="007965BB">
            <w:pPr>
              <w:pStyle w:val="CellTextValue"/>
            </w:pPr>
            <w:r>
              <w:rPr>
                <w:color w:val="000000"/>
              </w:rPr>
              <w:t>The rules are described in General Annex G. The following exceptions apply:</w:t>
            </w:r>
          </w:p>
          <w:p w14:paraId="6EB2EAD3"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0"/>
            </w:r>
            <w:r>
              <w:rPr>
                <w:color w:val="000000"/>
              </w:rPr>
              <w:t>.</w:t>
            </w:r>
          </w:p>
        </w:tc>
      </w:tr>
    </w:tbl>
    <w:p w14:paraId="2D1EF0D4" w14:textId="77777777" w:rsidR="00D84031" w:rsidRDefault="00D84031">
      <w:pPr>
        <w:spacing w:after="0" w:line="150" w:lineRule="auto"/>
      </w:pPr>
    </w:p>
    <w:p w14:paraId="1709CE2F" w14:textId="77777777" w:rsidR="00D84031" w:rsidRDefault="007965BB">
      <w:r>
        <w:rPr>
          <w:u w:val="single"/>
        </w:rPr>
        <w:t>Expected Outcome</w:t>
      </w:r>
      <w:r>
        <w:t xml:space="preserve">: </w:t>
      </w:r>
      <w:r>
        <w:rPr>
          <w:color w:val="000000"/>
        </w:rPr>
        <w:t>Projects should contribute to all of the following expected outcomes:</w:t>
      </w:r>
    </w:p>
    <w:p w14:paraId="6E379A64" w14:textId="77777777" w:rsidR="00D84031" w:rsidRDefault="007965BB" w:rsidP="00C62CF4">
      <w:pPr>
        <w:pStyle w:val="ListParagraph"/>
        <w:numPr>
          <w:ilvl w:val="0"/>
          <w:numId w:val="16"/>
        </w:numPr>
      </w:pPr>
      <w:r>
        <w:rPr>
          <w:color w:val="000000"/>
        </w:rPr>
        <w:lastRenderedPageBreak/>
        <w:t>EU institutions, Member States and decision-makers worldwide, relevant international organisations, civil society organisations and other societal actors have a better shared understanding of the systemic challenges and the underlying drivers in managing global commons sustainably.</w:t>
      </w:r>
    </w:p>
    <w:p w14:paraId="662AECCE" w14:textId="77777777" w:rsidR="00D84031" w:rsidRDefault="007965BB" w:rsidP="00C62CF4">
      <w:pPr>
        <w:pStyle w:val="ListParagraph"/>
        <w:numPr>
          <w:ilvl w:val="0"/>
          <w:numId w:val="16"/>
        </w:numPr>
      </w:pPr>
      <w:r>
        <w:rPr>
          <w:color w:val="000000"/>
        </w:rPr>
        <w:t>EU institutions, Member States and decision-makers worldwide, relevant international organisations, as well as academies of science, higher education institutions and research-performing organisations are better equipped with the tools needed to improve the science-policy interface in the area of foreign and security policies in general, and multilateral / national science advisory bodies in the field of foreign policy in particular.</w:t>
      </w:r>
    </w:p>
    <w:p w14:paraId="17CB8C0E" w14:textId="77777777" w:rsidR="00D84031" w:rsidRDefault="007965BB" w:rsidP="00C62CF4">
      <w:pPr>
        <w:pStyle w:val="ListParagraph"/>
        <w:numPr>
          <w:ilvl w:val="0"/>
          <w:numId w:val="16"/>
        </w:numPr>
      </w:pPr>
      <w:r>
        <w:rPr>
          <w:color w:val="000000"/>
        </w:rPr>
        <w:t xml:space="preserve">Rules-based multilateralism is strengthened by the development of concepts, methods, processes, and institutional frameworks that foster the sustainable governance of global commons within the evolving geopolitical context, thereby informing also the EU’s science diplomacy actions.  </w:t>
      </w:r>
    </w:p>
    <w:p w14:paraId="76C8BA2B" w14:textId="77777777" w:rsidR="00D84031" w:rsidRDefault="007965BB">
      <w:r>
        <w:rPr>
          <w:u w:val="single"/>
        </w:rPr>
        <w:t>Scope</w:t>
      </w:r>
      <w:r>
        <w:t xml:space="preserve">: </w:t>
      </w:r>
      <w:r>
        <w:rPr>
          <w:color w:val="000000"/>
        </w:rPr>
        <w:t>Global commons—resources shared by all humanity—are increasingly threatened by overuse and degradation by state and non-state actors. Spaces beyond national jurisdiction, in particular, require collective management to ensure sustainability for future generations. Not doing so will deepen the triple planetary crisis of climate change, biodiversity loss and pollution, and possibly lead to cascading effects and crossing irreversible tipping points. Evolving geopolitical tensions, weakened multilateral coope</w:t>
      </w:r>
      <w:r>
        <w:rPr>
          <w:color w:val="000000"/>
        </w:rPr>
        <w:t xml:space="preserve">ration, technological advances, and rising commercial interests from non-state actors, have intensified pressures on global commons. Declining trust in science further complicates efforts to agree on their fair and sustainable governance, risking instability and conflict. </w:t>
      </w:r>
    </w:p>
    <w:p w14:paraId="0D9AEF99" w14:textId="77777777" w:rsidR="00D84031" w:rsidRDefault="007965BB">
      <w:r>
        <w:rPr>
          <w:color w:val="000000"/>
        </w:rPr>
        <w:t>Against the current geopolitical background, there is a need to review the effectiveness of existing legal instruments and to accompany with research the implementation of new instruments. In addition, there is a need to further enhance the impact of existing and evolving science-policy fora</w:t>
      </w:r>
      <w:r>
        <w:rPr>
          <w:vertAlign w:val="superscript"/>
        </w:rPr>
        <w:footnoteReference w:id="31"/>
      </w:r>
      <w:r>
        <w:rPr>
          <w:color w:val="000000"/>
        </w:rPr>
        <w:t xml:space="preserve"> and their links to relevant conventions and agreements. Research is also needed into how the current governance of global commons affects human rights, including gender equality and the impact on different social groups, and how civil society can be enabled to access information, provide knowledge (including Indigenous Peoples and Local Communities knowledge), and participate in the governance of global commons. In addition, there is a need to study the rights of appeal and redress in policies related to t</w:t>
      </w:r>
      <w:r>
        <w:rPr>
          <w:color w:val="000000"/>
        </w:rPr>
        <w:t>he global commons, including but not limited to the “rights of nature”.</w:t>
      </w:r>
    </w:p>
    <w:p w14:paraId="0BE66A52" w14:textId="77777777" w:rsidR="00D84031" w:rsidRDefault="007965BB">
      <w:r>
        <w:rPr>
          <w:color w:val="000000"/>
        </w:rPr>
        <w:t xml:space="preserve">The underlying question is how a sustainable governance of global commons can look like in a multipolar world with competing hegemonic powers that do not necessarily share a common understanding of the merits of cooperation, multilateralism, or even international law. Hence, the overall aim of this call is to develop interdisciplinary concepts and solutions for governing the global commons sustainably, including through the use of science diplomacy as a soft </w:t>
      </w:r>
      <w:r>
        <w:rPr>
          <w:color w:val="000000"/>
        </w:rPr>
        <w:lastRenderedPageBreak/>
        <w:t>power and by learning from best practices in the different types of commons, such as the Ocean, Antarctica and Outer Space.</w:t>
      </w:r>
    </w:p>
    <w:p w14:paraId="218985F0" w14:textId="77777777" w:rsidR="00D84031" w:rsidRDefault="007965BB">
      <w:r>
        <w:rPr>
          <w:color w:val="000000"/>
        </w:rPr>
        <w:t>Proposals are expected to address one of the following thematic areas:</w:t>
      </w:r>
    </w:p>
    <w:p w14:paraId="33E3F9DE" w14:textId="77777777" w:rsidR="00D84031" w:rsidRDefault="007965BB">
      <w:r>
        <w:rPr>
          <w:b/>
          <w:color w:val="000000"/>
        </w:rPr>
        <w:t>Area A: Climate governance</w:t>
      </w:r>
      <w:r>
        <w:rPr>
          <w:color w:val="000000"/>
        </w:rPr>
        <w:t>. Projects should review the lessons from past global climate governance efforts, including the United Nations Framework Convention on Climate Change and the Paris Agreement, and develop options for strengthening climate governance, considering the current geopolitical context. Specific attention should be given to identifying options for improvement of multilateral governance as well as reinforcing the role of science-policy interfaces like the IPCC and other relevant science-based mechanisms, with the aim</w:t>
      </w:r>
      <w:r>
        <w:rPr>
          <w:color w:val="000000"/>
        </w:rPr>
        <w:t xml:space="preserve"> of informing and developing recommendations for EU and global science diplomacy action.</w:t>
      </w:r>
    </w:p>
    <w:p w14:paraId="4BF57D88" w14:textId="77777777" w:rsidR="00D84031" w:rsidRDefault="007965BB">
      <w:r>
        <w:rPr>
          <w:b/>
          <w:color w:val="000000"/>
        </w:rPr>
        <w:t>Area B: Biodiversity governance</w:t>
      </w:r>
      <w:r>
        <w:rPr>
          <w:color w:val="000000"/>
        </w:rPr>
        <w:t>. Projects should review the lessons from past global biodiversity governance efforts, including the Convention on Biological Diversity and related Conferences of the Parties and their subsidiary bodies, and identify options for improvement of multilateral governance, including the implementation of the Kunming-Montreal Global Biodiversity Framework (GBF) and the processes foreseen for monitoring, reporting and review. Taking into account the current geopolitical environment, projects should develop options</w:t>
      </w:r>
      <w:r>
        <w:rPr>
          <w:color w:val="000000"/>
        </w:rPr>
        <w:t xml:space="preserve"> for reinforcing the role of science-policy interfaces like the IPBES and other relevant science-based mechanisms, including the Global Knowledge Support Service for Biodiversity and the Subregional Technical and Scientific Cooperation Support Centres, with the aim of informing and developing recommendations for EU and global science diplomacy action. </w:t>
      </w:r>
    </w:p>
    <w:p w14:paraId="23DDB9FA" w14:textId="77777777" w:rsidR="00D84031" w:rsidRDefault="007965BB">
      <w:r>
        <w:rPr>
          <w:b/>
          <w:color w:val="000000"/>
        </w:rPr>
        <w:t>Area C: Governance of spaces beyond national jurisdiction</w:t>
      </w:r>
      <w:r>
        <w:rPr>
          <w:color w:val="000000"/>
        </w:rPr>
        <w:t>. Projects should provide a cross-cutting assessment of how different types of spaces beyond national jurisdiction have been governed so far, notably the ocean, polar regions, outer space including the Moon, Low Earth Orbit, the use of the radio spectrum, and dark and quiet skies. This may include a comparative review of the legal frameworks (e.g., Antarctic Treaty, UN Convention on the Law of the Sea, Outer Space Treaty, etc.). Projects should study current pressures on these spaces, with specific emphasis</w:t>
      </w:r>
      <w:r>
        <w:rPr>
          <w:color w:val="000000"/>
        </w:rPr>
        <w:t xml:space="preserve"> on the role of non-state actors and develop approaches to governing these spaces sustainably despite geopolitical fragmentation, thereby informing EU science diplomacy action. Examples of application include the protection of deep-sea ecosystems, the management of space debris, or the preservation of a dark and quiet sky.</w:t>
      </w:r>
    </w:p>
    <w:p w14:paraId="0C34710F" w14:textId="77777777" w:rsidR="00D84031" w:rsidRDefault="007965BB">
      <w:r>
        <w:rPr>
          <w:color w:val="000000"/>
        </w:rPr>
        <w:t>Proposals should demonstrate strong capacity for meaningful involvement of experts with practical experience in the relevant processes and bodies, including policymakers, diplomats, the business sector, and civil society, and are expected to involve international partners, as appropriate. Involvement of the EU’s outermost regions is particularly welcome for area C. Projects are expected to have an interdisciplinary perspective, bringing together expertise across natural sciences and engineering as well as s</w:t>
      </w:r>
      <w:r>
        <w:rPr>
          <w:color w:val="000000"/>
        </w:rPr>
        <w:t>ocial sciences and humanities (including history, law, ethics, and other disciplines). The selected projects should cooperate with each other to foster synergies and links between the different governance frameworks. They are also encouraged to cooperate with relevant projects in other Horizon Europe clusters and the Missions to identify complementarities and capitalise on their insights.</w:t>
      </w:r>
    </w:p>
    <w:p w14:paraId="52E1F9A1" w14:textId="77777777" w:rsidR="00D84031" w:rsidRDefault="007965BB">
      <w:pPr>
        <w:pStyle w:val="HeadingThree"/>
      </w:pPr>
      <w:r>
        <w:lastRenderedPageBreak/>
        <w:t>HORIZON-CL2-2026-01-DEMOCRACY-07: Supporting post-conflict democracy and reconstruction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7BD51231" w14:textId="77777777" w:rsidTr="00C62CF4">
        <w:tc>
          <w:tcPr>
            <w:tcW w:w="0" w:type="auto"/>
            <w:gridSpan w:val="2"/>
          </w:tcPr>
          <w:p w14:paraId="423283A2" w14:textId="77777777" w:rsidR="00D84031" w:rsidRDefault="007965BB">
            <w:pPr>
              <w:pStyle w:val="CellTextValue"/>
            </w:pPr>
            <w:r>
              <w:rPr>
                <w:b/>
              </w:rPr>
              <w:t>Call: Culture, Creativity and Inclusive Society 2026</w:t>
            </w:r>
          </w:p>
        </w:tc>
      </w:tr>
      <w:tr w:rsidR="00C62CF4" w14:paraId="532A6949" w14:textId="77777777" w:rsidTr="00C62CF4">
        <w:tc>
          <w:tcPr>
            <w:tcW w:w="0" w:type="auto"/>
            <w:gridSpan w:val="2"/>
          </w:tcPr>
          <w:p w14:paraId="3827EF31" w14:textId="77777777" w:rsidR="00D84031" w:rsidRDefault="007965BB">
            <w:pPr>
              <w:pStyle w:val="CellTextValue"/>
            </w:pPr>
            <w:r>
              <w:rPr>
                <w:b/>
              </w:rPr>
              <w:t>Specific conditions</w:t>
            </w:r>
          </w:p>
        </w:tc>
      </w:tr>
      <w:tr w:rsidR="00D84031" w14:paraId="2B6A969E" w14:textId="77777777">
        <w:tc>
          <w:tcPr>
            <w:tcW w:w="0" w:type="auto"/>
          </w:tcPr>
          <w:p w14:paraId="1D15FB59" w14:textId="77777777" w:rsidR="00D84031" w:rsidRDefault="007965BB">
            <w:pPr>
              <w:pStyle w:val="CellTextValue"/>
              <w:jc w:val="left"/>
            </w:pPr>
            <w:r>
              <w:rPr>
                <w:i/>
              </w:rPr>
              <w:t>Expected EU contribution per project</w:t>
            </w:r>
          </w:p>
        </w:tc>
        <w:tc>
          <w:tcPr>
            <w:tcW w:w="0" w:type="auto"/>
          </w:tcPr>
          <w:p w14:paraId="6F585966" w14:textId="77777777" w:rsidR="00D84031" w:rsidRDefault="007965BB">
            <w:pPr>
              <w:pStyle w:val="CellTextValue"/>
            </w:pPr>
            <w:r>
              <w:t>The Commission estimates that an EU contribution of between EUR 3.50 and 4.00 million would allow these outcomes to be addressed appropriately. Nonetheless, this does not preclude submission and selection of a proposal requesting different amounts.</w:t>
            </w:r>
          </w:p>
        </w:tc>
      </w:tr>
      <w:tr w:rsidR="00D84031" w14:paraId="212A581A" w14:textId="77777777">
        <w:tc>
          <w:tcPr>
            <w:tcW w:w="0" w:type="auto"/>
          </w:tcPr>
          <w:p w14:paraId="3320E8EA" w14:textId="77777777" w:rsidR="00D84031" w:rsidRDefault="007965BB">
            <w:pPr>
              <w:pStyle w:val="CellTextValue"/>
              <w:jc w:val="left"/>
            </w:pPr>
            <w:r>
              <w:rPr>
                <w:i/>
              </w:rPr>
              <w:t>Indicative budget</w:t>
            </w:r>
          </w:p>
        </w:tc>
        <w:tc>
          <w:tcPr>
            <w:tcW w:w="0" w:type="auto"/>
          </w:tcPr>
          <w:p w14:paraId="109437B8" w14:textId="77777777" w:rsidR="00D84031" w:rsidRDefault="007965BB">
            <w:pPr>
              <w:pStyle w:val="CellTextValue"/>
            </w:pPr>
            <w:r>
              <w:t>The total indicative budget for the topic is EUR 12.00 million.</w:t>
            </w:r>
          </w:p>
        </w:tc>
      </w:tr>
      <w:tr w:rsidR="00D84031" w14:paraId="183DCFEC" w14:textId="77777777">
        <w:tc>
          <w:tcPr>
            <w:tcW w:w="0" w:type="auto"/>
          </w:tcPr>
          <w:p w14:paraId="70829125" w14:textId="77777777" w:rsidR="00D84031" w:rsidRDefault="007965BB">
            <w:pPr>
              <w:pStyle w:val="CellTextValue"/>
              <w:jc w:val="left"/>
            </w:pPr>
            <w:r>
              <w:rPr>
                <w:i/>
              </w:rPr>
              <w:t>Type of Action</w:t>
            </w:r>
          </w:p>
        </w:tc>
        <w:tc>
          <w:tcPr>
            <w:tcW w:w="0" w:type="auto"/>
          </w:tcPr>
          <w:p w14:paraId="5C071F04" w14:textId="77777777" w:rsidR="00D84031" w:rsidRDefault="007965BB">
            <w:pPr>
              <w:pStyle w:val="CellTextValue"/>
            </w:pPr>
            <w:r>
              <w:rPr>
                <w:color w:val="000000"/>
              </w:rPr>
              <w:t>Research and Innovation Actions</w:t>
            </w:r>
          </w:p>
        </w:tc>
      </w:tr>
      <w:tr w:rsidR="00D84031" w14:paraId="10CE0721" w14:textId="77777777">
        <w:tc>
          <w:tcPr>
            <w:tcW w:w="0" w:type="auto"/>
          </w:tcPr>
          <w:p w14:paraId="165E40B1" w14:textId="77777777" w:rsidR="00D84031" w:rsidRDefault="007965BB">
            <w:pPr>
              <w:pStyle w:val="CellTextValue"/>
              <w:jc w:val="left"/>
            </w:pPr>
            <w:r>
              <w:rPr>
                <w:i/>
              </w:rPr>
              <w:t>Legal and financial set-up of the Grant Agreements</w:t>
            </w:r>
          </w:p>
        </w:tc>
        <w:tc>
          <w:tcPr>
            <w:tcW w:w="0" w:type="auto"/>
          </w:tcPr>
          <w:p w14:paraId="38E4835E" w14:textId="77777777" w:rsidR="00D84031" w:rsidRDefault="007965BB">
            <w:pPr>
              <w:pStyle w:val="CellTextValue"/>
            </w:pPr>
            <w:r>
              <w:rPr>
                <w:color w:val="000000"/>
              </w:rPr>
              <w:t>The rules are described in General Annex G. The following exceptions apply:</w:t>
            </w:r>
          </w:p>
          <w:p w14:paraId="3190886A"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2"/>
            </w:r>
            <w:r>
              <w:rPr>
                <w:color w:val="000000"/>
              </w:rPr>
              <w:t>.</w:t>
            </w:r>
          </w:p>
        </w:tc>
      </w:tr>
    </w:tbl>
    <w:p w14:paraId="4AF42E71" w14:textId="77777777" w:rsidR="00D84031" w:rsidRDefault="00D84031">
      <w:pPr>
        <w:spacing w:after="0" w:line="150" w:lineRule="auto"/>
      </w:pPr>
    </w:p>
    <w:p w14:paraId="14A67A66" w14:textId="77777777" w:rsidR="00D84031" w:rsidRDefault="007965BB">
      <w:r>
        <w:rPr>
          <w:u w:val="single"/>
        </w:rPr>
        <w:t>Expected Outcome</w:t>
      </w:r>
      <w:r>
        <w:t xml:space="preserve">: </w:t>
      </w:r>
      <w:r>
        <w:rPr>
          <w:color w:val="000000"/>
        </w:rPr>
        <w:t>Projects should contribute to all of the following expected outcomes:</w:t>
      </w:r>
    </w:p>
    <w:p w14:paraId="51B24A42" w14:textId="77777777" w:rsidR="00D84031" w:rsidRDefault="007965BB" w:rsidP="00C62CF4">
      <w:pPr>
        <w:pStyle w:val="ListParagraph"/>
        <w:numPr>
          <w:ilvl w:val="0"/>
          <w:numId w:val="17"/>
        </w:numPr>
      </w:pPr>
      <w:r>
        <w:rPr>
          <w:color w:val="000000"/>
        </w:rPr>
        <w:t>EU and national policymakers develop and implement effective strategies for sustainable peace and democratic reconstruction in post-conflict areas, promoting stability, inclusivity, equity, security, human rights, and strengthening integrity and anti-corruption measures to ensure transparent, accountable, and ethical use of reconstruction aid.</w:t>
      </w:r>
    </w:p>
    <w:p w14:paraId="3FD7B073" w14:textId="77777777" w:rsidR="00D84031" w:rsidRDefault="007965BB" w:rsidP="00C62CF4">
      <w:pPr>
        <w:pStyle w:val="ListParagraph"/>
        <w:numPr>
          <w:ilvl w:val="0"/>
          <w:numId w:val="17"/>
        </w:numPr>
      </w:pPr>
      <w:r>
        <w:rPr>
          <w:color w:val="000000"/>
        </w:rPr>
        <w:t>EU and national policymakers inform their decision-making with evidence-based recommendations on international cooperation, EU democracy support, and civil society engagement in post-conflict reconstruction, leading to more effective, inclusive and sustainable reconstruction efforts.</w:t>
      </w:r>
    </w:p>
    <w:p w14:paraId="509909E3" w14:textId="77777777" w:rsidR="00D84031" w:rsidRDefault="007965BB" w:rsidP="00C62CF4">
      <w:pPr>
        <w:pStyle w:val="ListParagraph"/>
        <w:numPr>
          <w:ilvl w:val="0"/>
          <w:numId w:val="17"/>
        </w:numPr>
      </w:pPr>
      <w:r>
        <w:rPr>
          <w:color w:val="000000"/>
        </w:rPr>
        <w:t>Local civil society organisations and community groups, with a focus on the most vulnerable persons and groups in post-conflict countries provide guidance and support to educators, media professionals, public administrators, and other stakeholders on promoting reconciliation, accountability, and sustainable peace.</w:t>
      </w:r>
    </w:p>
    <w:p w14:paraId="1A1D28B4" w14:textId="77777777" w:rsidR="00D84031" w:rsidRDefault="007965BB" w:rsidP="00C62CF4">
      <w:pPr>
        <w:pStyle w:val="ListParagraph"/>
        <w:numPr>
          <w:ilvl w:val="0"/>
          <w:numId w:val="17"/>
        </w:numPr>
      </w:pPr>
      <w:r>
        <w:rPr>
          <w:color w:val="000000"/>
        </w:rPr>
        <w:lastRenderedPageBreak/>
        <w:t xml:space="preserve">Specialised service providers, including NGOs and community organisations, offer support services and programmes to veterans and the most vulnerable persons and groups affected by the conflict reintegrating them into democratic societies, addressing their socio-economic and psychological needs and promoting successful reintegration into civilian life.  </w:t>
      </w:r>
    </w:p>
    <w:p w14:paraId="6BAF2FB2" w14:textId="77777777" w:rsidR="00D84031" w:rsidRDefault="007965BB">
      <w:r>
        <w:rPr>
          <w:u w:val="single"/>
        </w:rPr>
        <w:t>Scope</w:t>
      </w:r>
      <w:r>
        <w:t xml:space="preserve">: </w:t>
      </w:r>
      <w:r>
        <w:rPr>
          <w:color w:val="000000"/>
        </w:rPr>
        <w:t xml:space="preserve">The aftermath of conflict poses significant challenges for rebuilding democratic institutions, promoting social dialogue, and </w:t>
      </w:r>
      <w:r>
        <w:rPr>
          <w:color w:val="000000"/>
        </w:rPr>
        <w:t>achieving sustainable peace. In conflict and post-conflict areas, the destruction of infrastructure, institutions, and social fabric can lead to prolonged instability, increased inequalities, human suffering, and a decline in democratic governance.</w:t>
      </w:r>
    </w:p>
    <w:p w14:paraId="3AC5A33F" w14:textId="77777777" w:rsidR="00D84031" w:rsidRDefault="007965BB">
      <w:r>
        <w:rPr>
          <w:color w:val="000000"/>
        </w:rPr>
        <w:t>This research aims to investigate the complex relationships between post-conflict reconstruction, democracy, inequality, and international cooperation, with the ultimate goal of promoting reconciliation, accountability, and social dialogue in conflict and post-conflict areas. By analysing the causes and consequences of conflicts, examining the role of historical narratives and cultural sensibilities, and gathering evidence on key factors such as ethnic violence, inequalities, and conflict legacies, this res</w:t>
      </w:r>
      <w:r>
        <w:rPr>
          <w:color w:val="000000"/>
        </w:rPr>
        <w:t>earch seeks to inform the development of effective prevention, resolution, and reconciliation strategies. Proposals are encouraged to examine the prevention of fractured transitions in post-conflict situations, assessing past, present, and future divisions, and incorporating intergenerational and transgenerational perspectives to address potential challenges and promote a more sustainable transition.</w:t>
      </w:r>
    </w:p>
    <w:p w14:paraId="4B146ACC" w14:textId="77777777" w:rsidR="00D84031" w:rsidRDefault="007965BB">
      <w:r>
        <w:rPr>
          <w:color w:val="000000"/>
        </w:rPr>
        <w:t xml:space="preserve">Proposals should adopt an interdisciplinary approach, drawing on insights from SSH disciplines such as contemporary historiography, sociology, psychology, legal, political science and cultural studies, to examine the complex economic, social, psychological and institutional factors that influence post-conflict rebuilding efforts. </w:t>
      </w:r>
    </w:p>
    <w:p w14:paraId="6951F5D0" w14:textId="77777777" w:rsidR="00D84031" w:rsidRDefault="007965BB">
      <w:r>
        <w:rPr>
          <w:color w:val="000000"/>
        </w:rPr>
        <w:t>Proposals should adopt a collaborative and interdisciplinary approach, bringing together a diverse range of stakeholders, including research institutions, specialized service providers, local authorities, civil society organizations, local actors, media and information providers, schools, educational organizations, cultural institutions and heritage institutes. In addition, particular could be brought to the role of women as peacebuilders</w:t>
      </w:r>
      <w:r>
        <w:rPr>
          <w:vertAlign w:val="superscript"/>
        </w:rPr>
        <w:footnoteReference w:id="33"/>
      </w:r>
      <w:r>
        <w:rPr>
          <w:color w:val="000000"/>
        </w:rPr>
        <w:t>.This integrative approach should combine expertise and experience in areas such as conflict resolution, democratic governance, state rebuilding and social cohesion to explore new approaches to post-conflict reconstruction.</w:t>
      </w:r>
    </w:p>
    <w:p w14:paraId="08502760" w14:textId="77777777" w:rsidR="00D84031" w:rsidRDefault="007965BB">
      <w:r>
        <w:rPr>
          <w:color w:val="000000"/>
        </w:rPr>
        <w:t>Proposals may incorporate participatory research approaches to enhance inclusivity and stakeholder engagement, and should also examine innovative methods, such as participatory governance, inclusive economic development, and community-led reconstruction, to identify effective strategies applicable in diverse conflict and post-conflict areas.</w:t>
      </w:r>
    </w:p>
    <w:p w14:paraId="06033631" w14:textId="77777777" w:rsidR="00D84031" w:rsidRDefault="007965BB">
      <w:r>
        <w:rPr>
          <w:color w:val="000000"/>
        </w:rPr>
        <w:t xml:space="preserve">Proposals are encouraged to identify other relevant EU-funded projects related to EU democracy support, civil society engagement, and international cooperation on sustainable </w:t>
      </w:r>
      <w:r>
        <w:rPr>
          <w:color w:val="000000"/>
        </w:rPr>
        <w:lastRenderedPageBreak/>
        <w:t>peace and democratic governance, and to explore potential collaboration opportunities with them.</w:t>
      </w:r>
    </w:p>
    <w:p w14:paraId="44429EA3" w14:textId="77777777" w:rsidR="00D84031" w:rsidRDefault="007965BB">
      <w:pPr>
        <w:pStyle w:val="HeadingThree"/>
      </w:pPr>
      <w:r>
        <w:t xml:space="preserve">HORIZON-CL2-2026-01-DEMOCRACY-08: Electoral integrity in the digital context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44EA8532" w14:textId="77777777" w:rsidTr="00C62CF4">
        <w:tc>
          <w:tcPr>
            <w:tcW w:w="0" w:type="auto"/>
            <w:gridSpan w:val="2"/>
          </w:tcPr>
          <w:p w14:paraId="4ACCACD4" w14:textId="77777777" w:rsidR="00D84031" w:rsidRDefault="007965BB">
            <w:pPr>
              <w:pStyle w:val="CellTextValue"/>
            </w:pPr>
            <w:r>
              <w:rPr>
                <w:b/>
              </w:rPr>
              <w:t>Call: Culture, Creativity and Inclusive Society 2026</w:t>
            </w:r>
          </w:p>
        </w:tc>
      </w:tr>
      <w:tr w:rsidR="00C62CF4" w14:paraId="403FAA3F" w14:textId="77777777" w:rsidTr="00C62CF4">
        <w:tc>
          <w:tcPr>
            <w:tcW w:w="0" w:type="auto"/>
            <w:gridSpan w:val="2"/>
          </w:tcPr>
          <w:p w14:paraId="74049C43" w14:textId="77777777" w:rsidR="00D84031" w:rsidRDefault="007965BB">
            <w:pPr>
              <w:pStyle w:val="CellTextValue"/>
            </w:pPr>
            <w:r>
              <w:rPr>
                <w:b/>
              </w:rPr>
              <w:t>Specific conditions</w:t>
            </w:r>
          </w:p>
        </w:tc>
      </w:tr>
      <w:tr w:rsidR="00D84031" w14:paraId="2BD522BA" w14:textId="77777777">
        <w:tc>
          <w:tcPr>
            <w:tcW w:w="0" w:type="auto"/>
          </w:tcPr>
          <w:p w14:paraId="65730E39" w14:textId="77777777" w:rsidR="00D84031" w:rsidRDefault="007965BB">
            <w:pPr>
              <w:pStyle w:val="CellTextValue"/>
              <w:jc w:val="left"/>
            </w:pPr>
            <w:r>
              <w:rPr>
                <w:i/>
              </w:rPr>
              <w:t>Expected EU contribution per project</w:t>
            </w:r>
          </w:p>
        </w:tc>
        <w:tc>
          <w:tcPr>
            <w:tcW w:w="0" w:type="auto"/>
          </w:tcPr>
          <w:p w14:paraId="09F58AA9" w14:textId="77777777" w:rsidR="00D84031" w:rsidRDefault="007965BB">
            <w:pPr>
              <w:pStyle w:val="CellTextValue"/>
            </w:pPr>
            <w:r>
              <w:t>The Commission estimates that an EU contribution of between EUR 3.50 and 4.00 million would allow these outcomes to be addressed appropriately. Nonetheless, this does not preclude submission and selection of a proposal requesting different amounts.</w:t>
            </w:r>
          </w:p>
        </w:tc>
      </w:tr>
      <w:tr w:rsidR="00D84031" w14:paraId="4EA08F54" w14:textId="77777777">
        <w:tc>
          <w:tcPr>
            <w:tcW w:w="0" w:type="auto"/>
          </w:tcPr>
          <w:p w14:paraId="2AA20F4A" w14:textId="77777777" w:rsidR="00D84031" w:rsidRDefault="007965BB">
            <w:pPr>
              <w:pStyle w:val="CellTextValue"/>
              <w:jc w:val="left"/>
            </w:pPr>
            <w:r>
              <w:rPr>
                <w:i/>
              </w:rPr>
              <w:t>Indicative budget</w:t>
            </w:r>
          </w:p>
        </w:tc>
        <w:tc>
          <w:tcPr>
            <w:tcW w:w="0" w:type="auto"/>
          </w:tcPr>
          <w:p w14:paraId="26315BEE" w14:textId="77777777" w:rsidR="00D84031" w:rsidRDefault="007965BB">
            <w:pPr>
              <w:pStyle w:val="CellTextValue"/>
            </w:pPr>
            <w:r>
              <w:t>The total indicative budget for the topic is EUR 12.00 million.</w:t>
            </w:r>
          </w:p>
        </w:tc>
      </w:tr>
      <w:tr w:rsidR="00D84031" w14:paraId="280EA95C" w14:textId="77777777">
        <w:tc>
          <w:tcPr>
            <w:tcW w:w="0" w:type="auto"/>
          </w:tcPr>
          <w:p w14:paraId="00A76981" w14:textId="77777777" w:rsidR="00D84031" w:rsidRDefault="007965BB">
            <w:pPr>
              <w:pStyle w:val="CellTextValue"/>
              <w:jc w:val="left"/>
            </w:pPr>
            <w:r>
              <w:rPr>
                <w:i/>
              </w:rPr>
              <w:t>Type of Action</w:t>
            </w:r>
          </w:p>
        </w:tc>
        <w:tc>
          <w:tcPr>
            <w:tcW w:w="0" w:type="auto"/>
          </w:tcPr>
          <w:p w14:paraId="31872120" w14:textId="77777777" w:rsidR="00D84031" w:rsidRDefault="007965BB">
            <w:pPr>
              <w:pStyle w:val="CellTextValue"/>
            </w:pPr>
            <w:r>
              <w:rPr>
                <w:color w:val="000000"/>
              </w:rPr>
              <w:t>Research and Innovation Actions</w:t>
            </w:r>
          </w:p>
        </w:tc>
      </w:tr>
      <w:tr w:rsidR="00D84031" w14:paraId="0615BFDD" w14:textId="77777777">
        <w:tc>
          <w:tcPr>
            <w:tcW w:w="0" w:type="auto"/>
          </w:tcPr>
          <w:p w14:paraId="55840081" w14:textId="77777777" w:rsidR="00D84031" w:rsidRDefault="007965BB">
            <w:pPr>
              <w:pStyle w:val="CellTextValue"/>
              <w:jc w:val="left"/>
            </w:pPr>
            <w:r>
              <w:rPr>
                <w:i/>
              </w:rPr>
              <w:t>Eligibility conditions</w:t>
            </w:r>
          </w:p>
        </w:tc>
        <w:tc>
          <w:tcPr>
            <w:tcW w:w="0" w:type="auto"/>
          </w:tcPr>
          <w:p w14:paraId="44144166" w14:textId="77777777" w:rsidR="00D84031" w:rsidRDefault="007965BB">
            <w:pPr>
              <w:pStyle w:val="CellTextValue"/>
            </w:pPr>
            <w:r>
              <w:rPr>
                <w:color w:val="000000"/>
              </w:rPr>
              <w:t>The conditions are described in General Annex B. The following exceptions apply:</w:t>
            </w:r>
          </w:p>
          <w:p w14:paraId="581DB0D5" w14:textId="77777777" w:rsidR="00D84031" w:rsidRDefault="007965BB">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D84031" w14:paraId="042E3FD1" w14:textId="77777777">
        <w:tc>
          <w:tcPr>
            <w:tcW w:w="0" w:type="auto"/>
          </w:tcPr>
          <w:p w14:paraId="0B6E24A8" w14:textId="77777777" w:rsidR="00D84031" w:rsidRDefault="007965BB">
            <w:pPr>
              <w:pStyle w:val="CellTextValue"/>
              <w:jc w:val="left"/>
            </w:pPr>
            <w:r>
              <w:rPr>
                <w:i/>
              </w:rPr>
              <w:t>Legal and financial set-up of the Grant Agreements</w:t>
            </w:r>
          </w:p>
        </w:tc>
        <w:tc>
          <w:tcPr>
            <w:tcW w:w="0" w:type="auto"/>
          </w:tcPr>
          <w:p w14:paraId="1B80EA52" w14:textId="77777777" w:rsidR="00D84031" w:rsidRDefault="007965BB">
            <w:pPr>
              <w:pStyle w:val="CellTextValue"/>
            </w:pPr>
            <w:r>
              <w:rPr>
                <w:color w:val="000000"/>
              </w:rPr>
              <w:t>The rules are described in General Annex G. The following exceptions apply:</w:t>
            </w:r>
          </w:p>
          <w:p w14:paraId="3BAA027D"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4"/>
            </w:r>
            <w:r>
              <w:rPr>
                <w:color w:val="000000"/>
              </w:rPr>
              <w:t>.</w:t>
            </w:r>
          </w:p>
        </w:tc>
      </w:tr>
    </w:tbl>
    <w:p w14:paraId="7D52F68F" w14:textId="77777777" w:rsidR="00D84031" w:rsidRDefault="00D84031">
      <w:pPr>
        <w:spacing w:after="0" w:line="150" w:lineRule="auto"/>
      </w:pPr>
    </w:p>
    <w:p w14:paraId="72C9D0A5" w14:textId="77777777" w:rsidR="00D84031" w:rsidRDefault="007965BB">
      <w:r>
        <w:rPr>
          <w:u w:val="single"/>
        </w:rPr>
        <w:t>Expected Outcome</w:t>
      </w:r>
      <w:r>
        <w:t xml:space="preserve">: </w:t>
      </w:r>
      <w:r>
        <w:rPr>
          <w:color w:val="000000"/>
        </w:rPr>
        <w:t>Projects should contribute to all of the following expected outcomes:</w:t>
      </w:r>
    </w:p>
    <w:p w14:paraId="43563E28" w14:textId="77777777" w:rsidR="00D84031" w:rsidRDefault="007965BB" w:rsidP="00C62CF4">
      <w:pPr>
        <w:pStyle w:val="ListParagraph"/>
        <w:numPr>
          <w:ilvl w:val="0"/>
          <w:numId w:val="18"/>
        </w:numPr>
      </w:pPr>
      <w:r>
        <w:rPr>
          <w:color w:val="000000"/>
        </w:rPr>
        <w:t xml:space="preserve">EU and national policymakers possess the </w:t>
      </w:r>
      <w:r>
        <w:rPr>
          <w:color w:val="000000"/>
        </w:rPr>
        <w:t>necessary intelligence to inform the development of election regulations and standards that address the use of digital technologies in elections and political campaigns, ensuring their fairness, transparency, and security.</w:t>
      </w:r>
    </w:p>
    <w:p w14:paraId="5E9B53E1" w14:textId="77777777" w:rsidR="00D84031" w:rsidRDefault="007965BB" w:rsidP="00C62CF4">
      <w:pPr>
        <w:pStyle w:val="ListParagraph"/>
        <w:numPr>
          <w:ilvl w:val="0"/>
          <w:numId w:val="18"/>
        </w:numPr>
      </w:pPr>
      <w:r>
        <w:rPr>
          <w:color w:val="000000"/>
        </w:rPr>
        <w:lastRenderedPageBreak/>
        <w:t>Organisations involved in election processes develop and implement guidelines for the responsible use of digital technologies in elections and political campaigns, aligned with EU and national regulations.</w:t>
      </w:r>
    </w:p>
    <w:p w14:paraId="07EDC64B" w14:textId="77777777" w:rsidR="00D84031" w:rsidRDefault="007965BB" w:rsidP="00C62CF4">
      <w:pPr>
        <w:pStyle w:val="ListParagraph"/>
        <w:numPr>
          <w:ilvl w:val="0"/>
          <w:numId w:val="18"/>
        </w:numPr>
      </w:pPr>
      <w:r>
        <w:rPr>
          <w:color w:val="000000"/>
        </w:rPr>
        <w:t xml:space="preserve">Enhanced transparency and accountability in AI-powered political campaigns, achieved through requirements for AI system audits, data disclosure, transparency regarding algorithms, and responsible AI development. </w:t>
      </w:r>
    </w:p>
    <w:p w14:paraId="47DCDFC5" w14:textId="77777777" w:rsidR="00D84031" w:rsidRDefault="007965BB">
      <w:r>
        <w:rPr>
          <w:u w:val="single"/>
        </w:rPr>
        <w:t>Scope</w:t>
      </w:r>
      <w:r>
        <w:t xml:space="preserve">: </w:t>
      </w:r>
      <w:r>
        <w:rPr>
          <w:color w:val="000000"/>
        </w:rPr>
        <w:t>The integrity of European elections is facing unprecedented challenges in the digital age. The digital transformation of democratic processes has created new avenues for citizen engagement, but it also poses significant risks to the integrity of information and the electoral and other political processes. Concerns about external interference, exemplified by Russia's activities, have underscored the need for robust measures to safeguard the electoral process, including enhancing cybersecurity and voter ver</w:t>
      </w:r>
      <w:r>
        <w:rPr>
          <w:color w:val="000000"/>
        </w:rPr>
        <w:t xml:space="preserve">ification to prevent electoral manipulation. Social media platforms, in particular, have become critical battlegrounds in the fight for public opinion, with AI-powered tools being used to spread disinformation, manipulate public discourse, and influence voter behaviour. </w:t>
      </w:r>
    </w:p>
    <w:p w14:paraId="7F816F11" w14:textId="77777777" w:rsidR="00D84031" w:rsidRDefault="007965BB">
      <w:r>
        <w:rPr>
          <w:color w:val="000000"/>
        </w:rPr>
        <w:t>To address these challenges, it is essential to examine the effects of digital technologies on public opinion and governance, and investigate the development of ethical AI, transparent political advertising, and tools to counter misinformation and disinformation. This includes exploring the potential of digital technologies to transform and improve democratic processes, investigating multi-stakeholder approaches, with particular attention in fostering dialogue with platforms, media platforms and political p</w:t>
      </w:r>
      <w:r>
        <w:rPr>
          <w:color w:val="000000"/>
        </w:rPr>
        <w:t xml:space="preserve">arties and movements, as well as strengthening the traditional and new media and securing alternative platforms to enhance electoral resilience. </w:t>
      </w:r>
    </w:p>
    <w:p w14:paraId="238ECB99" w14:textId="77777777" w:rsidR="00D84031" w:rsidRDefault="007965BB">
      <w:r>
        <w:rPr>
          <w:color w:val="000000"/>
        </w:rPr>
        <w:t xml:space="preserve">Research should also investigate the risks new technologies pose to democratic integrity, particularly through the manipulation of public opinion and electoral processes, while also exploring ways to </w:t>
      </w:r>
      <w:r>
        <w:rPr>
          <w:color w:val="000000"/>
        </w:rPr>
        <w:t>leverage these new technologies to better understand and mitigate these threats. More specifically, proposals are encouraged to examine how AI-generated content across media, including entertainment media, influence public opinion, social narratives, gender stereotypes and norms, and civic engagement.</w:t>
      </w:r>
    </w:p>
    <w:p w14:paraId="38258021" w14:textId="77777777" w:rsidR="00D84031" w:rsidRDefault="007965BB">
      <w:r>
        <w:rPr>
          <w:color w:val="000000"/>
        </w:rPr>
        <w:t>The EU institutions have been actively engaged in addressing the key challenges for election integrity, including the spread of disinformation, online platform accountability, and the protection of democratic processes. Proposals should take into account the ongoing political and strategic initiatives, notably the Digital Services Act (DSA) election guidelines</w:t>
      </w:r>
      <w:r>
        <w:rPr>
          <w:vertAlign w:val="superscript"/>
        </w:rPr>
        <w:footnoteReference w:id="35"/>
      </w:r>
      <w:r>
        <w:rPr>
          <w:color w:val="000000"/>
        </w:rPr>
        <w:t xml:space="preserve"> and the Rapid Response System</w:t>
      </w:r>
      <w:r>
        <w:rPr>
          <w:vertAlign w:val="superscript"/>
        </w:rPr>
        <w:footnoteReference w:id="36"/>
      </w:r>
      <w:r>
        <w:rPr>
          <w:color w:val="000000"/>
        </w:rPr>
        <w:t xml:space="preserve">. </w:t>
      </w:r>
    </w:p>
    <w:p w14:paraId="11B139C6" w14:textId="77777777" w:rsidR="00D84031" w:rsidRDefault="007965BB">
      <w:r>
        <w:rPr>
          <w:color w:val="000000"/>
        </w:rPr>
        <w:t xml:space="preserve">The ultimate goal is to understand how to create robust and resilient electoral systems that can withstand the challenges of the digital age, ensure the safety and integrity of electoral processes, and promote transparent and accountable elections. This requires investigating the risks of cyberattacks and foreign interference on electoral processes, developing strategies to </w:t>
      </w:r>
      <w:r>
        <w:rPr>
          <w:color w:val="000000"/>
        </w:rPr>
        <w:lastRenderedPageBreak/>
        <w:t>enhance voting system security and promote election transparency, developing early warning systems, effective debunking strategies, and accountability measures for platforms.</w:t>
      </w:r>
    </w:p>
    <w:p w14:paraId="570214DB" w14:textId="77777777" w:rsidR="00D84031" w:rsidRDefault="007965BB">
      <w:r>
        <w:rPr>
          <w:color w:val="000000"/>
        </w:rPr>
        <w:t>Proposals are encouraged to involve in their research activities a range of relevant stakeholders, such as – but not limited to - electoral authorities, civil society watchdogs, new and traditional media and digital platforms.</w:t>
      </w:r>
    </w:p>
    <w:p w14:paraId="05E6EAAE" w14:textId="77777777" w:rsidR="00D84031" w:rsidRDefault="007965BB">
      <w:r>
        <w:rPr>
          <w:color w:val="000000"/>
        </w:rPr>
        <w:t>Projects should also focus on how foreign interference during elections can influence political propaganda via digital platforms, particularly in ways that undermine the rights of women, LGBTIQ people, and other minority groups. This also involves examining the safety of electoral processes, protecting the integrity of elections, and maintaining public trust in the democratic process, with a particular focus on ensuring the safety and security of political candidates, especially women and LGBTIQ persons and</w:t>
      </w:r>
      <w:r>
        <w:rPr>
          <w:color w:val="000000"/>
        </w:rPr>
        <w:t xml:space="preserve"> other members of minority groups, from violence, intimidation, and harassment. Addressing these concerns requires a comprehensive understanding of how AI shapes political campaigns, media narratives, public engagement, and spread (gendered) disinformation.</w:t>
      </w:r>
    </w:p>
    <w:p w14:paraId="06C5D5E1" w14:textId="77777777" w:rsidR="00D84031" w:rsidRDefault="007965BB">
      <w:r>
        <w:rPr>
          <w:color w:val="000000"/>
        </w:rPr>
        <w:t xml:space="preserve">To collect sound evidence and develop intelligence, projects are encouraged to collaborate with other research initiatives under the Horizon programme (including but not limited to those in the fields of cybersecurity and research and development of AI), and complementary funding schemes, such as the Citizens, Equality, Rights and Values programme and the Digital Europe Programme, to enhance AI literacy among stakeholders and leverage AI-powered fact-checking solutions. </w:t>
      </w:r>
    </w:p>
    <w:p w14:paraId="6EAAC2D8" w14:textId="77777777" w:rsidR="00D84031" w:rsidRDefault="007965BB">
      <w:r>
        <w:rPr>
          <w:color w:val="000000"/>
        </w:rPr>
        <w:t>Proposals are encouraged to identify other EU-funded projects related to electoral integrity and related fields, and to explore potential collaboration opportunities with them.</w:t>
      </w:r>
    </w:p>
    <w:p w14:paraId="2801DBD2" w14:textId="77777777" w:rsidR="00D84031" w:rsidRDefault="007965BB">
      <w:r>
        <w:rPr>
          <w:color w:val="000000"/>
        </w:rPr>
        <w:t>The Joint Research Centre (JRC) may participate as member of the consortium selected for funding.</w:t>
      </w:r>
    </w:p>
    <w:p w14:paraId="6A5ACACC" w14:textId="77777777" w:rsidR="00D84031" w:rsidRDefault="007965BB">
      <w:pPr>
        <w:pStyle w:val="HeadingThree"/>
      </w:pPr>
      <w:r>
        <w:t>HORIZON-CL2-2026-01-DEMOCRACY-09: Lifelong learning of citizenship education and citizen participation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2D330CD2" w14:textId="77777777" w:rsidTr="00C62CF4">
        <w:tc>
          <w:tcPr>
            <w:tcW w:w="0" w:type="auto"/>
            <w:gridSpan w:val="2"/>
          </w:tcPr>
          <w:p w14:paraId="3822E733" w14:textId="77777777" w:rsidR="00D84031" w:rsidRDefault="007965BB">
            <w:pPr>
              <w:pStyle w:val="CellTextValue"/>
            </w:pPr>
            <w:r>
              <w:rPr>
                <w:b/>
              </w:rPr>
              <w:t>Call: Culture, Creativity and Inclusive Society 2026</w:t>
            </w:r>
          </w:p>
        </w:tc>
      </w:tr>
      <w:tr w:rsidR="00C62CF4" w14:paraId="619B2670" w14:textId="77777777" w:rsidTr="00C62CF4">
        <w:tc>
          <w:tcPr>
            <w:tcW w:w="0" w:type="auto"/>
            <w:gridSpan w:val="2"/>
          </w:tcPr>
          <w:p w14:paraId="1A7FADAE" w14:textId="77777777" w:rsidR="00D84031" w:rsidRDefault="007965BB">
            <w:pPr>
              <w:pStyle w:val="CellTextValue"/>
            </w:pPr>
            <w:r>
              <w:rPr>
                <w:b/>
              </w:rPr>
              <w:t>Specific conditions</w:t>
            </w:r>
          </w:p>
        </w:tc>
      </w:tr>
      <w:tr w:rsidR="00D84031" w14:paraId="3278D41E" w14:textId="77777777">
        <w:tc>
          <w:tcPr>
            <w:tcW w:w="0" w:type="auto"/>
          </w:tcPr>
          <w:p w14:paraId="181E8908" w14:textId="77777777" w:rsidR="00D84031" w:rsidRDefault="007965BB">
            <w:pPr>
              <w:pStyle w:val="CellTextValue"/>
              <w:jc w:val="left"/>
            </w:pPr>
            <w:r>
              <w:rPr>
                <w:i/>
              </w:rPr>
              <w:t>Expected EU contribution per project</w:t>
            </w:r>
          </w:p>
        </w:tc>
        <w:tc>
          <w:tcPr>
            <w:tcW w:w="0" w:type="auto"/>
          </w:tcPr>
          <w:p w14:paraId="667BB26C" w14:textId="77777777" w:rsidR="00D84031" w:rsidRDefault="007965BB">
            <w:pPr>
              <w:pStyle w:val="CellTextValue"/>
            </w:pPr>
            <w:r>
              <w:t xml:space="preserve">The Commission estimates that an EU contribution of between EUR 3.50 and 4.00 million would allow these </w:t>
            </w:r>
            <w:r>
              <w:t>outcomes to be addressed appropriately. Nonetheless, this does not preclude submission and selection of a proposal requesting different amounts.</w:t>
            </w:r>
          </w:p>
        </w:tc>
      </w:tr>
      <w:tr w:rsidR="00D84031" w14:paraId="498EBC64" w14:textId="77777777">
        <w:tc>
          <w:tcPr>
            <w:tcW w:w="0" w:type="auto"/>
          </w:tcPr>
          <w:p w14:paraId="606E588A" w14:textId="77777777" w:rsidR="00D84031" w:rsidRDefault="007965BB">
            <w:pPr>
              <w:pStyle w:val="CellTextValue"/>
              <w:jc w:val="left"/>
            </w:pPr>
            <w:r>
              <w:rPr>
                <w:i/>
              </w:rPr>
              <w:t>Indicative budget</w:t>
            </w:r>
          </w:p>
        </w:tc>
        <w:tc>
          <w:tcPr>
            <w:tcW w:w="0" w:type="auto"/>
          </w:tcPr>
          <w:p w14:paraId="04479794" w14:textId="77777777" w:rsidR="00D84031" w:rsidRDefault="007965BB">
            <w:pPr>
              <w:pStyle w:val="CellTextValue"/>
            </w:pPr>
            <w:r>
              <w:t>The total indicative budget for the topic is EUR 16.00 million.</w:t>
            </w:r>
          </w:p>
        </w:tc>
      </w:tr>
      <w:tr w:rsidR="00D84031" w14:paraId="5EB9F937" w14:textId="77777777">
        <w:tc>
          <w:tcPr>
            <w:tcW w:w="0" w:type="auto"/>
          </w:tcPr>
          <w:p w14:paraId="03DE27F1" w14:textId="77777777" w:rsidR="00D84031" w:rsidRDefault="007965BB">
            <w:pPr>
              <w:pStyle w:val="CellTextValue"/>
              <w:jc w:val="left"/>
            </w:pPr>
            <w:r>
              <w:rPr>
                <w:i/>
              </w:rPr>
              <w:t>Type of Action</w:t>
            </w:r>
          </w:p>
        </w:tc>
        <w:tc>
          <w:tcPr>
            <w:tcW w:w="0" w:type="auto"/>
          </w:tcPr>
          <w:p w14:paraId="7CAEF355" w14:textId="77777777" w:rsidR="00D84031" w:rsidRDefault="007965BB">
            <w:pPr>
              <w:pStyle w:val="CellTextValue"/>
            </w:pPr>
            <w:r>
              <w:rPr>
                <w:color w:val="000000"/>
              </w:rPr>
              <w:t>Research and Innovation Actions</w:t>
            </w:r>
          </w:p>
        </w:tc>
      </w:tr>
      <w:tr w:rsidR="00D84031" w14:paraId="1874BABF" w14:textId="77777777">
        <w:tc>
          <w:tcPr>
            <w:tcW w:w="0" w:type="auto"/>
          </w:tcPr>
          <w:p w14:paraId="1F9A9E35" w14:textId="77777777" w:rsidR="00D84031" w:rsidRDefault="007965BB">
            <w:pPr>
              <w:pStyle w:val="CellTextValue"/>
              <w:jc w:val="left"/>
            </w:pPr>
            <w:r>
              <w:rPr>
                <w:i/>
              </w:rPr>
              <w:t xml:space="preserve">Legal and financial set-up of the Grant </w:t>
            </w:r>
            <w:r>
              <w:rPr>
                <w:i/>
              </w:rPr>
              <w:lastRenderedPageBreak/>
              <w:t>Agreements</w:t>
            </w:r>
          </w:p>
        </w:tc>
        <w:tc>
          <w:tcPr>
            <w:tcW w:w="0" w:type="auto"/>
          </w:tcPr>
          <w:p w14:paraId="09B407F6" w14:textId="77777777" w:rsidR="00D84031" w:rsidRDefault="007965BB">
            <w:pPr>
              <w:pStyle w:val="CellTextValue"/>
            </w:pPr>
            <w:r>
              <w:rPr>
                <w:color w:val="000000"/>
              </w:rPr>
              <w:lastRenderedPageBreak/>
              <w:t xml:space="preserve">The rules are described in General Annex G. The following exceptions </w:t>
            </w:r>
            <w:r>
              <w:rPr>
                <w:color w:val="000000"/>
              </w:rPr>
              <w:lastRenderedPageBreak/>
              <w:t>apply:</w:t>
            </w:r>
          </w:p>
          <w:p w14:paraId="5AA21E64"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7"/>
            </w:r>
            <w:r>
              <w:rPr>
                <w:color w:val="000000"/>
              </w:rPr>
              <w:t>.</w:t>
            </w:r>
          </w:p>
        </w:tc>
      </w:tr>
    </w:tbl>
    <w:p w14:paraId="512CF1C0" w14:textId="77777777" w:rsidR="00D84031" w:rsidRDefault="00D84031">
      <w:pPr>
        <w:spacing w:after="0" w:line="150" w:lineRule="auto"/>
      </w:pPr>
    </w:p>
    <w:p w14:paraId="44432DB7" w14:textId="77777777" w:rsidR="00D84031" w:rsidRDefault="007965BB">
      <w:r>
        <w:rPr>
          <w:u w:val="single"/>
        </w:rPr>
        <w:t>Expected Outcome</w:t>
      </w:r>
      <w:r>
        <w:t xml:space="preserve">: </w:t>
      </w:r>
      <w:r>
        <w:rPr>
          <w:color w:val="000000"/>
        </w:rPr>
        <w:t>Projects should contribute to all of the following expected outcomes:</w:t>
      </w:r>
    </w:p>
    <w:p w14:paraId="603D8C96" w14:textId="77777777" w:rsidR="00D84031" w:rsidRDefault="007965BB" w:rsidP="00C62CF4">
      <w:pPr>
        <w:pStyle w:val="ListParagraph"/>
        <w:numPr>
          <w:ilvl w:val="0"/>
          <w:numId w:val="19"/>
        </w:numPr>
      </w:pPr>
      <w:r>
        <w:rPr>
          <w:color w:val="000000"/>
        </w:rPr>
        <w:t>Policymakers and educators have tools and recommendations to put in place opportunities for civic and citizenship learning in lifelong learning, in support of democracy and democratic participation.</w:t>
      </w:r>
    </w:p>
    <w:p w14:paraId="34473ECB" w14:textId="77777777" w:rsidR="00D84031" w:rsidRDefault="007965BB" w:rsidP="00C62CF4">
      <w:pPr>
        <w:pStyle w:val="ListParagraph"/>
        <w:numPr>
          <w:ilvl w:val="0"/>
          <w:numId w:val="19"/>
        </w:numPr>
      </w:pPr>
      <w:r>
        <w:rPr>
          <w:color w:val="000000"/>
        </w:rPr>
        <w:t xml:space="preserve">Policymakers at local, regional, national and EU level have tools and recommendations for ensuring the civic participation of citizens, who face barriers to participation in democratic processes.  </w:t>
      </w:r>
    </w:p>
    <w:p w14:paraId="2C40C598" w14:textId="77777777" w:rsidR="00D84031" w:rsidRDefault="007965BB">
      <w:r>
        <w:rPr>
          <w:u w:val="single"/>
        </w:rPr>
        <w:t>Scope</w:t>
      </w:r>
      <w:r>
        <w:t xml:space="preserve">: </w:t>
      </w:r>
      <w:r>
        <w:rPr>
          <w:color w:val="000000"/>
        </w:rPr>
        <w:t>A healthy democracy relies on citizens being able to make informed democratic choices, in free and fair elections. Meaningful and inclusive citizens’ participation and engagement can further complement and reinforce representative democracies. Education plays a major role in supporting appetite for democratic participation and citizen engagement. Education in matters of democracy and participation in public-policy making is a lifelong process that concerns all age groups in society regardless of their for</w:t>
      </w:r>
      <w:r>
        <w:rPr>
          <w:color w:val="000000"/>
        </w:rPr>
        <w:t>mal educational trajectories.</w:t>
      </w:r>
    </w:p>
    <w:p w14:paraId="4BE91582" w14:textId="77777777" w:rsidR="00D84031" w:rsidRDefault="007965BB">
      <w:r>
        <w:rPr>
          <w:color w:val="000000"/>
        </w:rPr>
        <w:t>Lifelong learning about democratic processes, civic rights and obligations is crucial. It is a long process that concerns not only young people but also older ones. A healthy democracy relies on meaningful, inclusive engagement from citizens across all ages and demographic groups on a continuous basis. It is important to sustain lifelong learning of citizenship education, as technological, geopolitical and economic changes pose new challenges to social cohesion and equal participation of all citizens in dem</w:t>
      </w:r>
      <w:r>
        <w:rPr>
          <w:color w:val="000000"/>
        </w:rPr>
        <w:t>ocratic processes.</w:t>
      </w:r>
    </w:p>
    <w:p w14:paraId="47EB0C65" w14:textId="77777777" w:rsidR="00D84031" w:rsidRDefault="007965BB">
      <w:r>
        <w:rPr>
          <w:color w:val="000000"/>
        </w:rPr>
        <w:t>The focus of this topic is on how citizenship education as part of lifelong learning can boost democratic involvement and civic engagement. Research should look at how vocational education and training (VET) (e.g. at secondary and post-secondary levels), including apprenticeships, or adult education programmes, can raise civic knowledge, political awareness, and attachment to democratic values, such as respect for human dignity, freedom, equality and the rule of law. Projects should examine either VET or ad</w:t>
      </w:r>
      <w:r>
        <w:rPr>
          <w:color w:val="000000"/>
        </w:rPr>
        <w:t xml:space="preserve">ult education programmes. Research should further investigate how involvement in these programmes is linked to increased civic actions like voting or standing as a candidate in elections, engaging </w:t>
      </w:r>
      <w:r>
        <w:rPr>
          <w:color w:val="000000"/>
        </w:rPr>
        <w:lastRenderedPageBreak/>
        <w:t xml:space="preserve">in public policy-making processes, or broader democratic participation such as volunteering or engaging with civil society organisations. </w:t>
      </w:r>
    </w:p>
    <w:p w14:paraId="1F475550" w14:textId="77777777" w:rsidR="00D84031" w:rsidRDefault="007965BB">
      <w:r>
        <w:rPr>
          <w:color w:val="000000"/>
        </w:rPr>
        <w:t xml:space="preserve">Research could also explore how VET or adult learning programmes could support citizens in navigating and understanding the rapidly changing democratic information ecosystem, for example by being able to recognise disinformation and make use of digital tools for democratic engagement. </w:t>
      </w:r>
    </w:p>
    <w:p w14:paraId="0EA090A4" w14:textId="77777777" w:rsidR="00D84031" w:rsidRDefault="007965BB">
      <w:r>
        <w:rPr>
          <w:color w:val="000000"/>
        </w:rPr>
        <w:t xml:space="preserve">Research should test and pilot innovative methods and curricula to develop citizenship awareness for VET or adult education teachers and students. </w:t>
      </w:r>
    </w:p>
    <w:p w14:paraId="40D9AE5B" w14:textId="77777777" w:rsidR="00D84031" w:rsidRDefault="007965BB">
      <w:r>
        <w:rPr>
          <w:color w:val="000000"/>
        </w:rPr>
        <w:t>A gender perspective should be systematically integrated throughout the research, as well as the perspective of other groups that are marginalised, underrepresented in political decision-making, or at risk of disengagement.</w:t>
      </w:r>
    </w:p>
    <w:p w14:paraId="7A02BD89" w14:textId="77777777" w:rsidR="00D84031" w:rsidRDefault="007965BB">
      <w:r>
        <w:rPr>
          <w:color w:val="000000"/>
        </w:rPr>
        <w:t>Research may also examine digital citizenship, including media education and critical thinking, to form and develop media and other competence of citizens, and make recommendations for best practices in this area. Proposals may also examine the democratic participation of an ageing population for which digital tools are a barrier and propose recommendations for solutions to their participation. While digital tools can support engagement, research may also examine non-digital, person-to-person approaches tha</w:t>
      </w:r>
      <w:r>
        <w:rPr>
          <w:color w:val="000000"/>
        </w:rPr>
        <w:t>t support participation.</w:t>
      </w:r>
    </w:p>
    <w:p w14:paraId="562E20DC" w14:textId="77777777" w:rsidR="00D84031" w:rsidRDefault="007965BB">
      <w:r>
        <w:rPr>
          <w:color w:val="000000"/>
        </w:rPr>
        <w:t>Proposals should seek collaboration with the European Partnership on Social Transformations and Resilience.</w:t>
      </w:r>
    </w:p>
    <w:p w14:paraId="42AF8DEF" w14:textId="77777777" w:rsidR="00D84031" w:rsidRDefault="007965BB">
      <w:pPr>
        <w:pStyle w:val="HeadingThree"/>
      </w:pPr>
      <w:r>
        <w:t xml:space="preserve">HORIZON-CL2-2026-01-DEMOCRACY-10: Digital and media literacy as drivers for democratic and civic resilience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744998A5" w14:textId="77777777" w:rsidTr="00C62CF4">
        <w:tc>
          <w:tcPr>
            <w:tcW w:w="0" w:type="auto"/>
            <w:gridSpan w:val="2"/>
          </w:tcPr>
          <w:p w14:paraId="63E4E6E2" w14:textId="77777777" w:rsidR="00D84031" w:rsidRDefault="007965BB">
            <w:pPr>
              <w:pStyle w:val="CellTextValue"/>
            </w:pPr>
            <w:r>
              <w:rPr>
                <w:b/>
              </w:rPr>
              <w:t>Call: Culture, Creativity and Inclusive Society 2026</w:t>
            </w:r>
          </w:p>
        </w:tc>
      </w:tr>
      <w:tr w:rsidR="00C62CF4" w14:paraId="002FAE3D" w14:textId="77777777" w:rsidTr="00C62CF4">
        <w:tc>
          <w:tcPr>
            <w:tcW w:w="0" w:type="auto"/>
            <w:gridSpan w:val="2"/>
          </w:tcPr>
          <w:p w14:paraId="4671F6A4" w14:textId="77777777" w:rsidR="00D84031" w:rsidRDefault="007965BB">
            <w:pPr>
              <w:pStyle w:val="CellTextValue"/>
            </w:pPr>
            <w:r>
              <w:rPr>
                <w:b/>
              </w:rPr>
              <w:t>Specific conditions</w:t>
            </w:r>
          </w:p>
        </w:tc>
      </w:tr>
      <w:tr w:rsidR="00D84031" w14:paraId="3B6AE167" w14:textId="77777777">
        <w:tc>
          <w:tcPr>
            <w:tcW w:w="0" w:type="auto"/>
          </w:tcPr>
          <w:p w14:paraId="403C1461" w14:textId="77777777" w:rsidR="00D84031" w:rsidRDefault="007965BB">
            <w:pPr>
              <w:pStyle w:val="CellTextValue"/>
              <w:jc w:val="left"/>
            </w:pPr>
            <w:r>
              <w:rPr>
                <w:i/>
              </w:rPr>
              <w:t>Expected EU contribution per project</w:t>
            </w:r>
          </w:p>
        </w:tc>
        <w:tc>
          <w:tcPr>
            <w:tcW w:w="0" w:type="auto"/>
          </w:tcPr>
          <w:p w14:paraId="5BE6AC3F" w14:textId="77777777" w:rsidR="00D84031" w:rsidRDefault="007965BB">
            <w:pPr>
              <w:pStyle w:val="CellTextValue"/>
            </w:pPr>
            <w:r>
              <w:t>The Commission estimates that an EU contribution of between EUR 3.50 and 4.00 million would allow these outcomes to be addressed appropriately. Nonetheless, this does not preclude submission and selection of a proposal requesting different amounts.</w:t>
            </w:r>
          </w:p>
        </w:tc>
      </w:tr>
      <w:tr w:rsidR="00D84031" w14:paraId="03F1F56C" w14:textId="77777777">
        <w:tc>
          <w:tcPr>
            <w:tcW w:w="0" w:type="auto"/>
          </w:tcPr>
          <w:p w14:paraId="0E55F135" w14:textId="77777777" w:rsidR="00D84031" w:rsidRDefault="007965BB">
            <w:pPr>
              <w:pStyle w:val="CellTextValue"/>
              <w:jc w:val="left"/>
            </w:pPr>
            <w:r>
              <w:rPr>
                <w:i/>
              </w:rPr>
              <w:t>Indicative budget</w:t>
            </w:r>
          </w:p>
        </w:tc>
        <w:tc>
          <w:tcPr>
            <w:tcW w:w="0" w:type="auto"/>
          </w:tcPr>
          <w:p w14:paraId="121327FE" w14:textId="77777777" w:rsidR="00D84031" w:rsidRDefault="007965BB">
            <w:pPr>
              <w:pStyle w:val="CellTextValue"/>
            </w:pPr>
            <w:r>
              <w:t>The total indicative budget for the topic is EUR 12.00 million.</w:t>
            </w:r>
          </w:p>
        </w:tc>
      </w:tr>
      <w:tr w:rsidR="00D84031" w14:paraId="5A34C78C" w14:textId="77777777">
        <w:tc>
          <w:tcPr>
            <w:tcW w:w="0" w:type="auto"/>
          </w:tcPr>
          <w:p w14:paraId="7460E1E9" w14:textId="77777777" w:rsidR="00D84031" w:rsidRDefault="007965BB">
            <w:pPr>
              <w:pStyle w:val="CellTextValue"/>
              <w:jc w:val="left"/>
            </w:pPr>
            <w:r>
              <w:rPr>
                <w:i/>
              </w:rPr>
              <w:t>Type of Action</w:t>
            </w:r>
          </w:p>
        </w:tc>
        <w:tc>
          <w:tcPr>
            <w:tcW w:w="0" w:type="auto"/>
          </w:tcPr>
          <w:p w14:paraId="43C791E5" w14:textId="77777777" w:rsidR="00D84031" w:rsidRDefault="007965BB">
            <w:pPr>
              <w:pStyle w:val="CellTextValue"/>
            </w:pPr>
            <w:r>
              <w:rPr>
                <w:color w:val="000000"/>
              </w:rPr>
              <w:t>Research and Innovation Actions</w:t>
            </w:r>
          </w:p>
        </w:tc>
      </w:tr>
      <w:tr w:rsidR="00D84031" w14:paraId="1B2AD00D" w14:textId="77777777">
        <w:tc>
          <w:tcPr>
            <w:tcW w:w="0" w:type="auto"/>
          </w:tcPr>
          <w:p w14:paraId="35D81908" w14:textId="77777777" w:rsidR="00D84031" w:rsidRDefault="007965BB">
            <w:pPr>
              <w:pStyle w:val="CellTextValue"/>
              <w:jc w:val="left"/>
            </w:pPr>
            <w:r>
              <w:rPr>
                <w:i/>
              </w:rPr>
              <w:t xml:space="preserve">Eligibility </w:t>
            </w:r>
            <w:r>
              <w:rPr>
                <w:i/>
              </w:rPr>
              <w:t>conditions</w:t>
            </w:r>
          </w:p>
        </w:tc>
        <w:tc>
          <w:tcPr>
            <w:tcW w:w="0" w:type="auto"/>
          </w:tcPr>
          <w:p w14:paraId="3E451336" w14:textId="77777777" w:rsidR="00D84031" w:rsidRDefault="007965BB">
            <w:pPr>
              <w:pStyle w:val="CellTextValue"/>
            </w:pPr>
            <w:r>
              <w:rPr>
                <w:color w:val="000000"/>
              </w:rPr>
              <w:t>The conditions are described in General Annex B. The following exceptions apply:</w:t>
            </w:r>
          </w:p>
          <w:p w14:paraId="7AFEC725" w14:textId="77777777" w:rsidR="00D84031" w:rsidRDefault="007965BB">
            <w:pPr>
              <w:pStyle w:val="CellTextValue"/>
            </w:pPr>
            <w:r>
              <w:rPr>
                <w:color w:val="000000"/>
              </w:rPr>
              <w:t xml:space="preserve">The Joint Research Centre (JRC) may participate as member of the consortium selected for funding as a beneficiary with zero funding, or as an associated partner. The JRC will not participate in the preparation </w:t>
            </w:r>
            <w:r>
              <w:rPr>
                <w:color w:val="000000"/>
              </w:rPr>
              <w:lastRenderedPageBreak/>
              <w:t>and submission of the proposal - see General Annex B.</w:t>
            </w:r>
          </w:p>
        </w:tc>
      </w:tr>
      <w:tr w:rsidR="00D84031" w14:paraId="65CC3622" w14:textId="77777777">
        <w:tc>
          <w:tcPr>
            <w:tcW w:w="0" w:type="auto"/>
          </w:tcPr>
          <w:p w14:paraId="547C5511" w14:textId="77777777" w:rsidR="00D84031" w:rsidRDefault="007965BB">
            <w:pPr>
              <w:pStyle w:val="CellTextValue"/>
              <w:jc w:val="left"/>
            </w:pPr>
            <w:r>
              <w:rPr>
                <w:i/>
              </w:rPr>
              <w:lastRenderedPageBreak/>
              <w:t>Legal and financial set-up of the Grant Agreements</w:t>
            </w:r>
          </w:p>
        </w:tc>
        <w:tc>
          <w:tcPr>
            <w:tcW w:w="0" w:type="auto"/>
          </w:tcPr>
          <w:p w14:paraId="40D85EEB" w14:textId="77777777" w:rsidR="00D84031" w:rsidRDefault="007965BB">
            <w:pPr>
              <w:pStyle w:val="CellTextValue"/>
            </w:pPr>
            <w:r>
              <w:rPr>
                <w:color w:val="000000"/>
              </w:rPr>
              <w:t>The rules are described in General Annex G. The following exceptions apply:</w:t>
            </w:r>
          </w:p>
          <w:p w14:paraId="47BE2CDF"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8"/>
            </w:r>
            <w:r>
              <w:rPr>
                <w:color w:val="000000"/>
              </w:rPr>
              <w:t>.</w:t>
            </w:r>
          </w:p>
        </w:tc>
      </w:tr>
    </w:tbl>
    <w:p w14:paraId="6645AF5C" w14:textId="77777777" w:rsidR="00D84031" w:rsidRDefault="00D84031">
      <w:pPr>
        <w:spacing w:after="0" w:line="150" w:lineRule="auto"/>
      </w:pPr>
    </w:p>
    <w:p w14:paraId="1A6543AD" w14:textId="77777777" w:rsidR="00D84031" w:rsidRDefault="007965BB">
      <w:r>
        <w:rPr>
          <w:u w:val="single"/>
        </w:rPr>
        <w:t>Expected Outcome</w:t>
      </w:r>
      <w:r>
        <w:t xml:space="preserve">: </w:t>
      </w:r>
      <w:r>
        <w:rPr>
          <w:color w:val="000000"/>
        </w:rPr>
        <w:t>Projects should contribute to all of the following expected outcomes:</w:t>
      </w:r>
    </w:p>
    <w:p w14:paraId="39E202DD" w14:textId="77777777" w:rsidR="00D84031" w:rsidRDefault="007965BB" w:rsidP="00C62CF4">
      <w:pPr>
        <w:pStyle w:val="ListParagraph"/>
        <w:numPr>
          <w:ilvl w:val="0"/>
          <w:numId w:val="20"/>
        </w:numPr>
      </w:pPr>
      <w:r>
        <w:rPr>
          <w:color w:val="000000"/>
        </w:rPr>
        <w:t xml:space="preserve"> EU institutions and national decision-makers, have a better understanding of how to foster democratic resilience through media and digital literacy in view of preparing for and managing crisis situations.</w:t>
      </w:r>
    </w:p>
    <w:p w14:paraId="2E94A8E9" w14:textId="77777777" w:rsidR="00D84031" w:rsidRDefault="007965BB" w:rsidP="00C62CF4">
      <w:pPr>
        <w:pStyle w:val="ListParagraph"/>
        <w:numPr>
          <w:ilvl w:val="0"/>
          <w:numId w:val="20"/>
        </w:numPr>
      </w:pPr>
      <w:r>
        <w:rPr>
          <w:color w:val="000000"/>
        </w:rPr>
        <w:t xml:space="preserve">Citizens are empowered to navigate the digital landscape with discernment and critical thinking, actively engaging with media and information, ensuring informed democratic participation. </w:t>
      </w:r>
    </w:p>
    <w:p w14:paraId="1820B735" w14:textId="77777777" w:rsidR="00D84031" w:rsidRDefault="007965BB">
      <w:r>
        <w:rPr>
          <w:u w:val="single"/>
        </w:rPr>
        <w:t>Scope</w:t>
      </w:r>
      <w:r>
        <w:t xml:space="preserve">: </w:t>
      </w:r>
      <w:r>
        <w:rPr>
          <w:color w:val="000000"/>
        </w:rPr>
        <w:t>As recalled by the “Safer together” report</w:t>
      </w:r>
      <w:r>
        <w:rPr>
          <w:vertAlign w:val="superscript"/>
        </w:rPr>
        <w:footnoteReference w:id="39"/>
      </w:r>
      <w:r>
        <w:rPr>
          <w:color w:val="000000"/>
        </w:rPr>
        <w:t>, “over the past years, the Commission has already taken steps to counter hybrid threats and enhance democratic resilience across the EU. It adopted, among other initiatives, the European Democracy Action Plan</w:t>
      </w:r>
      <w:r>
        <w:rPr>
          <w:vertAlign w:val="superscript"/>
        </w:rPr>
        <w:footnoteReference w:id="40"/>
      </w:r>
      <w:r>
        <w:rPr>
          <w:color w:val="000000"/>
        </w:rPr>
        <w:t xml:space="preserve"> to build more resilient democracies across the EU by promoting free and fair elections, strengthening media freedom and countering disinformation. With the adoption of the Digital Services Act</w:t>
      </w:r>
      <w:r>
        <w:rPr>
          <w:vertAlign w:val="superscript"/>
        </w:rPr>
        <w:footnoteReference w:id="41"/>
      </w:r>
      <w:r>
        <w:rPr>
          <w:color w:val="000000"/>
        </w:rPr>
        <w:t xml:space="preserve"> (DSA) and its binding obligations for online platforms to combat the spread of disinformation, the Commission also strengthened the Code of Practice on Disinformation, which became a Code of Conduct within the framework of the DSA. Moreover, the launch of the European Digital Media Observatory and its national hubs increased the capacity to detect, analyse and expose disinformation campaigns.”</w:t>
      </w:r>
      <w:r>
        <w:rPr>
          <w:vertAlign w:val="superscript"/>
        </w:rPr>
        <w:footnoteReference w:id="42"/>
      </w:r>
    </w:p>
    <w:p w14:paraId="3A212773" w14:textId="77777777" w:rsidR="00D84031" w:rsidRDefault="007965BB">
      <w:r>
        <w:rPr>
          <w:color w:val="000000"/>
        </w:rPr>
        <w:t>The Preparedness Union Strategy</w:t>
      </w:r>
      <w:r>
        <w:rPr>
          <w:vertAlign w:val="superscript"/>
        </w:rPr>
        <w:footnoteReference w:id="43"/>
      </w:r>
      <w:r>
        <w:rPr>
          <w:color w:val="000000"/>
        </w:rPr>
        <w:t xml:space="preserve"> underlines how preparedness is a collective responsibility. It also points at the need to make our democracies more resilient, in particular in view of strengthening trust in institutions, which can be crucial in crisis situations as seen for instance during the COVID pandemic. Vulnerable groups in particular, such as children, senior </w:t>
      </w:r>
      <w:r>
        <w:rPr>
          <w:color w:val="000000"/>
        </w:rPr>
        <w:lastRenderedPageBreak/>
        <w:t>citizens and persons with disabilities, ethnic minorities, those suffering poverty and/or social exclusion, are disproportionately affected by crises, often exacerbating pre-</w:t>
      </w:r>
      <w:r>
        <w:rPr>
          <w:color w:val="000000"/>
        </w:rPr>
        <w:t>existing disadvantages and inequalities.</w:t>
      </w:r>
    </w:p>
    <w:p w14:paraId="24F32D49" w14:textId="77777777" w:rsidR="00D84031" w:rsidRDefault="007965BB">
      <w:r>
        <w:rPr>
          <w:color w:val="000000"/>
        </w:rPr>
        <w:t>Disinformation is particularly harmful as it undermines public confidence and can exacerbate the impact of crises. Engaged, informed and empowered citizens are the best guarantee for the resilience of our democracies. Public authorities, schools, universities and training institutions, youth initiatives, civil society organisations and associations, social partners, businesses, local networks and communities, and citizens from an early age, all play a vital role in such collective endeavour, and the propose</w:t>
      </w:r>
      <w:r>
        <w:rPr>
          <w:color w:val="000000"/>
        </w:rPr>
        <w:t>d research should take a multi-actor approach.</w:t>
      </w:r>
    </w:p>
    <w:p w14:paraId="201D2070" w14:textId="77777777" w:rsidR="00D84031" w:rsidRDefault="007965BB">
      <w:r>
        <w:rPr>
          <w:color w:val="000000"/>
        </w:rPr>
        <w:t>Against this background, the proposed research should explore the complex and dynamic patterns of user behaviours in the digital age, investigating how individuals seek, evaluate, and engage with information online, and offline. Such an exploration will benefit from including an analysis of the emotional dynamics in the dissemination of disinformation and polarization on digital platforms. Proposals should investigate how algorithms amplify emotive content, fostering polarization and undermining trust in de</w:t>
      </w:r>
      <w:r>
        <w:rPr>
          <w:color w:val="000000"/>
        </w:rPr>
        <w:t>mocratic institutions, and develop media literacy strategies to counter emotionally manipulative narratives, such as populist and post-truth discourses.</w:t>
      </w:r>
    </w:p>
    <w:p w14:paraId="18723724" w14:textId="77777777" w:rsidR="00D84031" w:rsidRDefault="007965BB">
      <w:r>
        <w:rPr>
          <w:color w:val="000000"/>
        </w:rPr>
        <w:t>The research should also examine the factors that influence digital literacy, information-seeking habits, and online engagement, with a focus on improving (digital) citizenship and informed decision-making. At a time when disinformation is used for sowing discord by exploiting the fears of citizens, it is crucial to ensure that democratic decisions are informed by the most reliable and widely accepted facts and sources of information available. Research should explore the critical role media and digital lit</w:t>
      </w:r>
      <w:r>
        <w:rPr>
          <w:color w:val="000000"/>
        </w:rPr>
        <w:t xml:space="preserve">eracy can play in fostering societal resilience, by allowing citizens to navigate and resist misinformation, disinformation and propaganda. </w:t>
      </w:r>
    </w:p>
    <w:p w14:paraId="70BA1A5F" w14:textId="77777777" w:rsidR="00D84031" w:rsidRDefault="007965BB">
      <w:r>
        <w:rPr>
          <w:color w:val="000000"/>
        </w:rPr>
        <w:t>The proposed research should plan a critical assessment of media and digital literacy initiatives</w:t>
      </w:r>
      <w:r>
        <w:rPr>
          <w:vertAlign w:val="superscript"/>
        </w:rPr>
        <w:footnoteReference w:id="44"/>
      </w:r>
      <w:r>
        <w:rPr>
          <w:color w:val="000000"/>
        </w:rPr>
        <w:t xml:space="preserve"> to assess whether existing efforts are enhancing citizens’ resilience, or whether new approaches are needed to more effectively equip citizens against evolving manipulation tactics. </w:t>
      </w:r>
    </w:p>
    <w:p w14:paraId="2E92947E" w14:textId="77777777" w:rsidR="00D84031" w:rsidRDefault="007965BB">
      <w:r>
        <w:rPr>
          <w:color w:val="000000"/>
        </w:rPr>
        <w:t>Research should identify strategies to improve media literacy and digital literacy, in order to enhance critical thinking, promote fact-based decision-making, and counter the negative impacts of disinformation on democratic societies. To facilitate the generation of practical solutions for educators and policymakers, the research could utilise computational tools, such as Social Network Analysis and Natural Language Processing, to map and mitigate the spread of emotive disinformation across multiple platfor</w:t>
      </w:r>
      <w:r>
        <w:rPr>
          <w:color w:val="000000"/>
        </w:rPr>
        <w:t xml:space="preserve">ms. This includes identifying Coordinated </w:t>
      </w:r>
      <w:r>
        <w:rPr>
          <w:color w:val="000000"/>
        </w:rPr>
        <w:lastRenderedPageBreak/>
        <w:t>Inauthentic Behaviour and analysing both textual and visual content to inform media literacy initiatives.</w:t>
      </w:r>
    </w:p>
    <w:p w14:paraId="4857617E" w14:textId="77777777" w:rsidR="00D84031" w:rsidRDefault="007965BB">
      <w:r>
        <w:rPr>
          <w:color w:val="000000"/>
        </w:rPr>
        <w:t>Proposals are encouraged to seek collaboration whenever possible with relevant projects selected under previous EU-funded calls, such as HORIZON-CL2-2025-01-DEMOCRACY-01: Advisory support and network to counter disinformation and foreign information manipulation and interference (FIMI) and HORIZON-CL2-2025-01-DEMOCRACY-09: Fighting against disinformation while ensuring the right to freedom of expression. Clustering and cooperation with other selected projects under this topic and other relevant projects are</w:t>
      </w:r>
      <w:r>
        <w:rPr>
          <w:color w:val="000000"/>
        </w:rPr>
        <w:t xml:space="preserve"> strongly encouraged.</w:t>
      </w:r>
    </w:p>
    <w:p w14:paraId="5B43EFB2" w14:textId="77777777" w:rsidR="00D84031" w:rsidRDefault="007965BB">
      <w:r>
        <w:rPr>
          <w:color w:val="000000"/>
        </w:rPr>
        <w:t>The projects selected for funding are encouraged to collaborate with the JRC to seek synergies with its work on innovation for democracy and public governance.</w:t>
      </w:r>
    </w:p>
    <w:p w14:paraId="584F6018" w14:textId="77777777" w:rsidR="00D84031" w:rsidRDefault="007965BB">
      <w:pPr>
        <w:pStyle w:val="HeadingThree"/>
      </w:pPr>
      <w:r>
        <w:t xml:space="preserve">HORIZON-CL2-2027-01-DEMOCRACY-01: Advisory support and network for countering and preventing radicalisation, extremism, hate speech and polarisation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0135550B" w14:textId="77777777" w:rsidTr="00C62CF4">
        <w:tc>
          <w:tcPr>
            <w:tcW w:w="0" w:type="auto"/>
            <w:gridSpan w:val="2"/>
          </w:tcPr>
          <w:p w14:paraId="78267027" w14:textId="77777777" w:rsidR="00D84031" w:rsidRDefault="007965BB">
            <w:pPr>
              <w:pStyle w:val="CellTextValue"/>
            </w:pPr>
            <w:r>
              <w:rPr>
                <w:b/>
              </w:rPr>
              <w:t>Call: Culture, Creativity and Inclusive Society - 2027</w:t>
            </w:r>
          </w:p>
        </w:tc>
      </w:tr>
      <w:tr w:rsidR="00C62CF4" w14:paraId="51056911" w14:textId="77777777" w:rsidTr="00C62CF4">
        <w:tc>
          <w:tcPr>
            <w:tcW w:w="0" w:type="auto"/>
            <w:gridSpan w:val="2"/>
          </w:tcPr>
          <w:p w14:paraId="760C306E" w14:textId="77777777" w:rsidR="00D84031" w:rsidRDefault="007965BB">
            <w:pPr>
              <w:pStyle w:val="CellTextValue"/>
            </w:pPr>
            <w:r>
              <w:rPr>
                <w:b/>
              </w:rPr>
              <w:t>Specific conditions</w:t>
            </w:r>
          </w:p>
        </w:tc>
      </w:tr>
      <w:tr w:rsidR="00D84031" w14:paraId="2F3E2CCA" w14:textId="77777777">
        <w:tc>
          <w:tcPr>
            <w:tcW w:w="0" w:type="auto"/>
          </w:tcPr>
          <w:p w14:paraId="579C98E0" w14:textId="77777777" w:rsidR="00D84031" w:rsidRDefault="007965BB">
            <w:pPr>
              <w:pStyle w:val="CellTextValue"/>
              <w:jc w:val="left"/>
            </w:pPr>
            <w:r>
              <w:rPr>
                <w:i/>
              </w:rPr>
              <w:t>Expected EU contribution per project</w:t>
            </w:r>
          </w:p>
        </w:tc>
        <w:tc>
          <w:tcPr>
            <w:tcW w:w="0" w:type="auto"/>
          </w:tcPr>
          <w:p w14:paraId="2DA1B233" w14:textId="77777777" w:rsidR="00D84031" w:rsidRDefault="007965BB">
            <w:pPr>
              <w:pStyle w:val="CellTextValue"/>
            </w:pPr>
            <w:r>
              <w:t xml:space="preserve">The </w:t>
            </w:r>
            <w:r>
              <w:t>Commission estimates that an EU contribution of between EUR 3.00 and 3.50 million would allow these outcomes to be addressed appropriately. Nonetheless, this does not preclude submission and selection of a proposal requesting different amounts.</w:t>
            </w:r>
          </w:p>
        </w:tc>
      </w:tr>
      <w:tr w:rsidR="00D84031" w14:paraId="41FDF166" w14:textId="77777777">
        <w:tc>
          <w:tcPr>
            <w:tcW w:w="0" w:type="auto"/>
          </w:tcPr>
          <w:p w14:paraId="7F490830" w14:textId="77777777" w:rsidR="00D84031" w:rsidRDefault="007965BB">
            <w:pPr>
              <w:pStyle w:val="CellTextValue"/>
              <w:jc w:val="left"/>
            </w:pPr>
            <w:r>
              <w:rPr>
                <w:i/>
              </w:rPr>
              <w:t>Indicative budget</w:t>
            </w:r>
          </w:p>
        </w:tc>
        <w:tc>
          <w:tcPr>
            <w:tcW w:w="0" w:type="auto"/>
          </w:tcPr>
          <w:p w14:paraId="2FCC0C3B" w14:textId="77777777" w:rsidR="00D84031" w:rsidRDefault="007965BB">
            <w:pPr>
              <w:pStyle w:val="CellTextValue"/>
            </w:pPr>
            <w:r>
              <w:t>The total indicative budget for the topic is EUR 3.50 million.</w:t>
            </w:r>
          </w:p>
        </w:tc>
      </w:tr>
      <w:tr w:rsidR="00D84031" w14:paraId="084FA28B" w14:textId="77777777">
        <w:tc>
          <w:tcPr>
            <w:tcW w:w="0" w:type="auto"/>
          </w:tcPr>
          <w:p w14:paraId="4622B836" w14:textId="77777777" w:rsidR="00D84031" w:rsidRDefault="007965BB">
            <w:pPr>
              <w:pStyle w:val="CellTextValue"/>
              <w:jc w:val="left"/>
            </w:pPr>
            <w:r>
              <w:rPr>
                <w:i/>
              </w:rPr>
              <w:t>Type of Action</w:t>
            </w:r>
          </w:p>
        </w:tc>
        <w:tc>
          <w:tcPr>
            <w:tcW w:w="0" w:type="auto"/>
          </w:tcPr>
          <w:p w14:paraId="3D01C782" w14:textId="77777777" w:rsidR="00D84031" w:rsidRDefault="007965BB">
            <w:pPr>
              <w:pStyle w:val="CellTextValue"/>
            </w:pPr>
            <w:r>
              <w:rPr>
                <w:color w:val="000000"/>
              </w:rPr>
              <w:t>Coordination and Support Actions</w:t>
            </w:r>
          </w:p>
        </w:tc>
      </w:tr>
      <w:tr w:rsidR="00D84031" w14:paraId="56E91470" w14:textId="77777777">
        <w:tc>
          <w:tcPr>
            <w:tcW w:w="0" w:type="auto"/>
          </w:tcPr>
          <w:p w14:paraId="721B5994" w14:textId="77777777" w:rsidR="00D84031" w:rsidRDefault="007965BB">
            <w:pPr>
              <w:pStyle w:val="CellTextValue"/>
              <w:jc w:val="left"/>
            </w:pPr>
            <w:r>
              <w:rPr>
                <w:i/>
              </w:rPr>
              <w:t>Eligibility conditions</w:t>
            </w:r>
          </w:p>
        </w:tc>
        <w:tc>
          <w:tcPr>
            <w:tcW w:w="0" w:type="auto"/>
          </w:tcPr>
          <w:p w14:paraId="1E486D9E" w14:textId="77777777" w:rsidR="00D84031" w:rsidRDefault="007965BB">
            <w:pPr>
              <w:pStyle w:val="CellTextValue"/>
            </w:pPr>
            <w:r>
              <w:rPr>
                <w:color w:val="000000"/>
              </w:rPr>
              <w:t>The conditions are described in General Annex B. The following exceptions apply:</w:t>
            </w:r>
          </w:p>
          <w:p w14:paraId="5BA1FAC6" w14:textId="77777777" w:rsidR="00D84031" w:rsidRDefault="007965BB">
            <w:pPr>
              <w:pStyle w:val="CellTextValue"/>
            </w:pPr>
            <w:r>
              <w:rPr>
                <w:color w:val="000000"/>
              </w:rPr>
              <w:t xml:space="preserve">Due to the scope of this </w:t>
            </w:r>
            <w:r>
              <w:rPr>
                <w:color w:val="000000"/>
              </w:rPr>
              <w:t>topic, legal entities established in non-associated third countries may exceptionally participate in this Coordination and Support Action as a beneficiary or affiliated entity and are exceptionally eligible for Union funding.</w:t>
            </w:r>
          </w:p>
          <w:p w14:paraId="701E567E" w14:textId="77777777" w:rsidR="00D84031" w:rsidRDefault="007965BB">
            <w:pPr>
              <w:pStyle w:val="CellTextValue"/>
            </w:pPr>
            <w:r>
              <w:rPr>
                <w:color w:val="000000"/>
              </w:rPr>
              <w:t>If eligible for funding, legal entities established in non-associated third countries may exceptionally participate in this Coordination and support action as a beneficiary or affiliated entity.</w:t>
            </w:r>
          </w:p>
        </w:tc>
      </w:tr>
      <w:tr w:rsidR="00D84031" w14:paraId="534FC12D" w14:textId="77777777">
        <w:tc>
          <w:tcPr>
            <w:tcW w:w="0" w:type="auto"/>
          </w:tcPr>
          <w:p w14:paraId="46C1DF7C" w14:textId="77777777" w:rsidR="00D84031" w:rsidRDefault="007965BB">
            <w:pPr>
              <w:pStyle w:val="CellTextValue"/>
              <w:jc w:val="left"/>
            </w:pPr>
            <w:r>
              <w:rPr>
                <w:i/>
              </w:rPr>
              <w:t>Procedure</w:t>
            </w:r>
          </w:p>
        </w:tc>
        <w:tc>
          <w:tcPr>
            <w:tcW w:w="0" w:type="auto"/>
          </w:tcPr>
          <w:p w14:paraId="16A766E0" w14:textId="77777777" w:rsidR="00D84031" w:rsidRDefault="007965BB">
            <w:pPr>
              <w:pStyle w:val="CellTextValue"/>
            </w:pPr>
            <w:r>
              <w:rPr>
                <w:color w:val="000000"/>
              </w:rPr>
              <w:t xml:space="preserve">The procedure is described in General Annex F. The following </w:t>
            </w:r>
            <w:r>
              <w:rPr>
                <w:color w:val="000000"/>
              </w:rPr>
              <w:t>exceptions apply:</w:t>
            </w:r>
          </w:p>
          <w:p w14:paraId="2F225626" w14:textId="77777777" w:rsidR="00D84031" w:rsidRDefault="007965BB">
            <w:pPr>
              <w:pStyle w:val="CellTextValue"/>
            </w:pPr>
            <w:r>
              <w:rPr>
                <w:color w:val="000000"/>
              </w:rPr>
              <w:t>The granting authority can fund a maximum of one project.</w:t>
            </w:r>
          </w:p>
        </w:tc>
      </w:tr>
      <w:tr w:rsidR="00D84031" w14:paraId="50BA40B5" w14:textId="77777777">
        <w:tc>
          <w:tcPr>
            <w:tcW w:w="0" w:type="auto"/>
          </w:tcPr>
          <w:p w14:paraId="35B2BF3A" w14:textId="77777777" w:rsidR="00D84031" w:rsidRDefault="007965BB">
            <w:pPr>
              <w:pStyle w:val="CellTextValue"/>
              <w:jc w:val="left"/>
            </w:pPr>
            <w:r>
              <w:rPr>
                <w:i/>
              </w:rPr>
              <w:t xml:space="preserve">Legal and financial set-up of the Grant </w:t>
            </w:r>
            <w:r>
              <w:rPr>
                <w:i/>
              </w:rPr>
              <w:lastRenderedPageBreak/>
              <w:t>Agreements</w:t>
            </w:r>
          </w:p>
        </w:tc>
        <w:tc>
          <w:tcPr>
            <w:tcW w:w="0" w:type="auto"/>
          </w:tcPr>
          <w:p w14:paraId="255EF2C8" w14:textId="77777777" w:rsidR="00D84031" w:rsidRDefault="007965BB">
            <w:pPr>
              <w:pStyle w:val="CellTextValue"/>
            </w:pPr>
            <w:r>
              <w:rPr>
                <w:color w:val="000000"/>
              </w:rPr>
              <w:lastRenderedPageBreak/>
              <w:t>The rules are described in General Annex G. The following exceptions apply:</w:t>
            </w:r>
          </w:p>
          <w:p w14:paraId="4694ACE9" w14:textId="77777777" w:rsidR="00D84031" w:rsidRDefault="007965BB">
            <w:pPr>
              <w:pStyle w:val="CellTextValue"/>
            </w:pPr>
            <w:r>
              <w:rPr>
                <w:color w:val="000000"/>
              </w:rPr>
              <w:lastRenderedPageBreak/>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45"/>
            </w:r>
            <w:r>
              <w:rPr>
                <w:color w:val="000000"/>
              </w:rPr>
              <w:t>.</w:t>
            </w:r>
          </w:p>
        </w:tc>
      </w:tr>
    </w:tbl>
    <w:p w14:paraId="14514655" w14:textId="77777777" w:rsidR="00D84031" w:rsidRDefault="00D84031">
      <w:pPr>
        <w:spacing w:after="0" w:line="150" w:lineRule="auto"/>
      </w:pPr>
    </w:p>
    <w:p w14:paraId="0D03F7E9" w14:textId="77777777" w:rsidR="00D84031" w:rsidRDefault="007965BB">
      <w:r>
        <w:rPr>
          <w:u w:val="single"/>
        </w:rPr>
        <w:t>Expected Outcome</w:t>
      </w:r>
      <w:r>
        <w:t xml:space="preserve">: </w:t>
      </w:r>
      <w:r>
        <w:rPr>
          <w:color w:val="000000"/>
        </w:rPr>
        <w:t>Projects should contribute to all of the following expected outcomes:</w:t>
      </w:r>
    </w:p>
    <w:p w14:paraId="6C4A4EA1" w14:textId="77777777" w:rsidR="00D84031" w:rsidRDefault="007965BB" w:rsidP="00C62CF4">
      <w:pPr>
        <w:pStyle w:val="ListParagraph"/>
        <w:numPr>
          <w:ilvl w:val="0"/>
          <w:numId w:val="21"/>
        </w:numPr>
      </w:pPr>
      <w:r>
        <w:rPr>
          <w:color w:val="000000"/>
        </w:rPr>
        <w:t xml:space="preserve">Political, societal, educational stakeholders, and researchers have an improved understanding of theoretical models and </w:t>
      </w:r>
      <w:r>
        <w:rPr>
          <w:color w:val="000000"/>
        </w:rPr>
        <w:t>provided pathways for implementing solutions to combat extremism, radicalisation, hate speech and polarisation, drawing from Horizon 2020 and Horizon Europe projects.</w:t>
      </w:r>
    </w:p>
    <w:p w14:paraId="79B75E09" w14:textId="77777777" w:rsidR="00D84031" w:rsidRDefault="007965BB" w:rsidP="00C62CF4">
      <w:pPr>
        <w:pStyle w:val="ListParagraph"/>
        <w:numPr>
          <w:ilvl w:val="0"/>
          <w:numId w:val="21"/>
        </w:numPr>
      </w:pPr>
      <w:r>
        <w:rPr>
          <w:color w:val="000000"/>
        </w:rPr>
        <w:t>Increased willingness among stakeholders, including public bodies and NGOs, to implement and adapt solutions to counter radicalisation, extremism, hate speech and polarisation in their respective contexts.</w:t>
      </w:r>
    </w:p>
    <w:p w14:paraId="0A9F80AD" w14:textId="77777777" w:rsidR="00D84031" w:rsidRDefault="007965BB" w:rsidP="00C62CF4">
      <w:pPr>
        <w:pStyle w:val="ListParagraph"/>
        <w:numPr>
          <w:ilvl w:val="0"/>
          <w:numId w:val="21"/>
        </w:numPr>
      </w:pPr>
      <w:r>
        <w:rPr>
          <w:color w:val="000000"/>
        </w:rPr>
        <w:t>EU institutions, national policymakers and judicial bodies can draw on an enhanced evidence-base for their decision-making through scientific, political, and legal assessments of research results in real-life contexts, enabling replication of methods, legislative changes, and innovation.</w:t>
      </w:r>
    </w:p>
    <w:p w14:paraId="241814A3" w14:textId="77777777" w:rsidR="00D84031" w:rsidRDefault="007965BB" w:rsidP="00C62CF4">
      <w:pPr>
        <w:pStyle w:val="ListParagraph"/>
        <w:numPr>
          <w:ilvl w:val="0"/>
          <w:numId w:val="21"/>
        </w:numPr>
      </w:pPr>
      <w:r>
        <w:rPr>
          <w:color w:val="000000"/>
        </w:rPr>
        <w:t xml:space="preserve">Improved understanding of the root causes of hate and polarisation, of methodologies to combat online hate ecosystems and of the role of traditional media in shaping public opinion, including the correlation between media consumption and polarisation, to inform strategies for protecting victims and addressing hate crimes and speech.  </w:t>
      </w:r>
    </w:p>
    <w:p w14:paraId="4ADC7600" w14:textId="77777777" w:rsidR="00D84031" w:rsidRDefault="007965BB">
      <w:r>
        <w:rPr>
          <w:u w:val="single"/>
        </w:rPr>
        <w:t>Scope</w:t>
      </w:r>
      <w:r>
        <w:t xml:space="preserve">: </w:t>
      </w:r>
      <w:r>
        <w:rPr>
          <w:color w:val="000000"/>
        </w:rPr>
        <w:t>The European Union has been actively working to combat racism, xenophobia, hate speech, hate crimes, and extremism in recent years, developing and implementing various strategies to address these issues</w:t>
      </w:r>
      <w:r>
        <w:rPr>
          <w:vertAlign w:val="superscript"/>
        </w:rPr>
        <w:footnoteReference w:id="46"/>
      </w:r>
      <w:r>
        <w:rPr>
          <w:color w:val="000000"/>
        </w:rPr>
        <w:t xml:space="preserve">. Horizon 2020 and Horizon Europe have also played a crucial role in funding projects that aim to develop research and collect evidence on how to counter and prevent radicalisation, polarisation, hate speech and extremism. These phenomena pose significant risks, as they can undermine trust in democratic institutions, weaken the social contract, and contribute to rising inequalities and instability. </w:t>
      </w:r>
    </w:p>
    <w:p w14:paraId="06A7AE1A" w14:textId="77777777" w:rsidR="00D84031" w:rsidRDefault="007965BB">
      <w:r>
        <w:rPr>
          <w:color w:val="000000"/>
        </w:rPr>
        <w:t xml:space="preserve">European research should combine a clear understanding of the mechanisms that play a fundamental role in the circulation of online hate speech, radicalisation, extremism, and polarisation with the development of strategies to prevent and counter these phenomena, while promoting the Union values enshrined in the Treaty on European Union, such as human </w:t>
      </w:r>
      <w:r>
        <w:rPr>
          <w:color w:val="000000"/>
        </w:rPr>
        <w:lastRenderedPageBreak/>
        <w:t xml:space="preserve">dignity, freedom, democracy, equality, the rule of law and respect for human rights, and the protection of democratic institutions, as a condition for everyone's talents to flourish and for fostering a cohesive society and a culture of tolerance and pluralism. This will contribute to enhance the prevention of violent extremism, hate speech and hate crime and the promotion of a more inclusive and resilient society. The spread of hate speech and extremist ideologies online has become a major concern, and the </w:t>
      </w:r>
      <w:r>
        <w:rPr>
          <w:color w:val="000000"/>
        </w:rPr>
        <w:t>need for effective solutions to address these issues is pressing. Hate speech and extremism can be criminal offences, but also more broadly contribute to polarisation and have a chilling effect on freedom of expression, for example limiting the engagement of individuals in public life (e.g. elected officials stepping down from elections because of hate attacks). Moreover, the polarisation of society and the erosion of trust in institutions pose a threat to social cohesion and democratic values.</w:t>
      </w:r>
    </w:p>
    <w:p w14:paraId="69CED596" w14:textId="77777777" w:rsidR="00D84031" w:rsidRDefault="007965BB">
      <w:r>
        <w:rPr>
          <w:color w:val="000000"/>
        </w:rPr>
        <w:t>To address these challenges, it is essential also to foster the understanding on the root causes of radicalisation, extremism, hate and polarisation, including as concerns the impact of socio-economic factors. This requires also collaboration with end-users, such as civil society organisations and practitioners</w:t>
      </w:r>
      <w:r>
        <w:rPr>
          <w:vertAlign w:val="superscript"/>
        </w:rPr>
        <w:footnoteReference w:id="47"/>
      </w:r>
      <w:r>
        <w:rPr>
          <w:color w:val="000000"/>
        </w:rPr>
        <w:t xml:space="preserve">, who can provide valuable insights and help develop solutions that are tailored to their specific needs and contexts. </w:t>
      </w:r>
    </w:p>
    <w:p w14:paraId="3EE4D9E6" w14:textId="77777777" w:rsidR="00D84031" w:rsidRDefault="007965BB">
      <w:r>
        <w:rPr>
          <w:color w:val="000000"/>
        </w:rPr>
        <w:t>Proposals should build on past EU-funded and national projects and seek cooperation with on-going ones as well as plan to exploit potential complementarities with project(s) funded under HORIZON-CL2-2022-DEMOCRACY-01-05: Evolution of political extremism and its influence on contemporary social and political dialogue; HORIZON-CL2-2024-DEMOCRACY-01-01: Protest politics and cultures of opposition in democracy; HORIZON-CL2-2022-TRANSFORMATIONS-01-08 - Strengthening racial, ethnic and religious equality; HORIZON</w:t>
      </w:r>
      <w:r>
        <w:rPr>
          <w:color w:val="000000"/>
        </w:rPr>
        <w:t xml:space="preserve">-CL3-2022-FCT-01-03: Enhanced fight against the abuse of online gaming culture by extremists; HORIZON-CL2-2024-DEMOCRACY-01-05: Gender-roles in extremist movements and their impact on democracy, HORIZON-CL3-2024-FCT-01-04: Radicalisation and gender; HORIZON-CL3-2024-FCT-01-05: Combating hate speech online and offline; </w:t>
      </w:r>
      <w:hyperlink r:id="rId8">
        <w:r>
          <w:rPr>
            <w:color w:val="0000FF"/>
            <w:szCs w:val="24"/>
            <w:u w:val="single"/>
          </w:rPr>
          <w:t>HORIZON-CL3-2022-FCT-01-03 - Enhanced fight against the abuse of online gaming culture by extremists</w:t>
        </w:r>
      </w:hyperlink>
      <w:r>
        <w:rPr>
          <w:color w:val="000000"/>
        </w:rPr>
        <w:t>; HORIZON-CL2-2025-01-DEMOCRACY-05: Countering and preventing radicalisation, extremism, hate speech and polarisation; HORIZON-CL2-2025-01-DEMOCRACY-06: Towards a European research hub on contemporary antisemitism and Jewish life and culture. Proposals should indicate which additional Horizon Europe and/or other EU-funded projects they would build on, should they go beyond those funded under the mentioned topics. Proposals should integrate a gender-sensitive and intersectional approach to illustrate how rad</w:t>
      </w:r>
      <w:r>
        <w:rPr>
          <w:color w:val="000000"/>
        </w:rPr>
        <w:t>icalisation, extremism, hate speech and polarisation disproportionately affect different groups and groups of different ages.</w:t>
      </w:r>
    </w:p>
    <w:p w14:paraId="6C881070" w14:textId="77777777" w:rsidR="00D84031" w:rsidRDefault="007965BB">
      <w:r>
        <w:rPr>
          <w:color w:val="000000"/>
        </w:rPr>
        <w:t>Initiatives of research such as the ones in the EU Knowledge Hub on Prevention of Radicalisation</w:t>
      </w:r>
      <w:r>
        <w:rPr>
          <w:vertAlign w:val="superscript"/>
        </w:rPr>
        <w:footnoteReference w:id="48"/>
      </w:r>
      <w:r>
        <w:rPr>
          <w:color w:val="000000"/>
        </w:rPr>
        <w:t xml:space="preserve"> (previously Radicalisation Awareness Network) or the forthcoming online knowledge hub under the Code of conduct+ on countering illegal hate speech online should be considered when developing initiatives to upscale and exploit solutions to combat </w:t>
      </w:r>
      <w:r>
        <w:rPr>
          <w:color w:val="000000"/>
        </w:rPr>
        <w:lastRenderedPageBreak/>
        <w:t>extremism, hate speech and radicalisation. The actions should strive to include civil society organisations.</w:t>
      </w:r>
    </w:p>
    <w:p w14:paraId="3AEB8842" w14:textId="77777777" w:rsidR="00D84031" w:rsidRDefault="007965BB">
      <w:pPr>
        <w:pStyle w:val="HeadingThree"/>
      </w:pPr>
      <w:r>
        <w:t>HORIZON-CL2-2027-01-DEMOCRACY-02: Women’s, LGBTIQ and minority rights in a context of autocracy, conflict and geopolitical shifts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523E34EE" w14:textId="77777777" w:rsidTr="00C62CF4">
        <w:tc>
          <w:tcPr>
            <w:tcW w:w="0" w:type="auto"/>
            <w:gridSpan w:val="2"/>
          </w:tcPr>
          <w:p w14:paraId="78D71148" w14:textId="77777777" w:rsidR="00D84031" w:rsidRDefault="007965BB">
            <w:pPr>
              <w:pStyle w:val="CellTextValue"/>
            </w:pPr>
            <w:r>
              <w:rPr>
                <w:b/>
              </w:rPr>
              <w:t>Call: Culture, Creativity and Inclusive Society - 2027</w:t>
            </w:r>
          </w:p>
        </w:tc>
      </w:tr>
      <w:tr w:rsidR="00C62CF4" w14:paraId="72304104" w14:textId="77777777" w:rsidTr="00C62CF4">
        <w:tc>
          <w:tcPr>
            <w:tcW w:w="0" w:type="auto"/>
            <w:gridSpan w:val="2"/>
          </w:tcPr>
          <w:p w14:paraId="37816933" w14:textId="77777777" w:rsidR="00D84031" w:rsidRDefault="007965BB">
            <w:pPr>
              <w:pStyle w:val="CellTextValue"/>
            </w:pPr>
            <w:r>
              <w:rPr>
                <w:b/>
              </w:rPr>
              <w:t>Specific conditions</w:t>
            </w:r>
          </w:p>
        </w:tc>
      </w:tr>
      <w:tr w:rsidR="00D84031" w14:paraId="0D2C7CEF" w14:textId="77777777">
        <w:tc>
          <w:tcPr>
            <w:tcW w:w="0" w:type="auto"/>
          </w:tcPr>
          <w:p w14:paraId="403B2F9D" w14:textId="77777777" w:rsidR="00D84031" w:rsidRDefault="007965BB">
            <w:pPr>
              <w:pStyle w:val="CellTextValue"/>
              <w:jc w:val="left"/>
            </w:pPr>
            <w:r>
              <w:rPr>
                <w:i/>
              </w:rPr>
              <w:t>Expected EU contribution per project</w:t>
            </w:r>
          </w:p>
        </w:tc>
        <w:tc>
          <w:tcPr>
            <w:tcW w:w="0" w:type="auto"/>
          </w:tcPr>
          <w:p w14:paraId="399E68EF" w14:textId="77777777" w:rsidR="00D84031" w:rsidRDefault="007965BB">
            <w:pPr>
              <w:pStyle w:val="CellTextValue"/>
            </w:pPr>
            <w:r>
              <w:t xml:space="preserve">The Commission estimates that an EU contribution of between EUR 3.50 and </w:t>
            </w:r>
            <w:r>
              <w:t>4.00 million would allow these outcomes to be addressed appropriately. Nonetheless, this does not preclude submission and selection of a proposal requesting different amounts.</w:t>
            </w:r>
          </w:p>
        </w:tc>
      </w:tr>
      <w:tr w:rsidR="00D84031" w14:paraId="0F9534DA" w14:textId="77777777">
        <w:tc>
          <w:tcPr>
            <w:tcW w:w="0" w:type="auto"/>
          </w:tcPr>
          <w:p w14:paraId="7EC183B5" w14:textId="77777777" w:rsidR="00D84031" w:rsidRDefault="007965BB">
            <w:pPr>
              <w:pStyle w:val="CellTextValue"/>
              <w:jc w:val="left"/>
            </w:pPr>
            <w:r>
              <w:rPr>
                <w:i/>
              </w:rPr>
              <w:t>Indicative budget</w:t>
            </w:r>
          </w:p>
        </w:tc>
        <w:tc>
          <w:tcPr>
            <w:tcW w:w="0" w:type="auto"/>
          </w:tcPr>
          <w:p w14:paraId="60E6C15F" w14:textId="77777777" w:rsidR="00D84031" w:rsidRDefault="007965BB">
            <w:pPr>
              <w:pStyle w:val="CellTextValue"/>
            </w:pPr>
            <w:r>
              <w:t>The total indicative budget for the topic is EUR 12.00 million.</w:t>
            </w:r>
          </w:p>
        </w:tc>
      </w:tr>
      <w:tr w:rsidR="00D84031" w14:paraId="0159D06B" w14:textId="77777777">
        <w:tc>
          <w:tcPr>
            <w:tcW w:w="0" w:type="auto"/>
          </w:tcPr>
          <w:p w14:paraId="6A1952C7" w14:textId="77777777" w:rsidR="00D84031" w:rsidRDefault="007965BB">
            <w:pPr>
              <w:pStyle w:val="CellTextValue"/>
              <w:jc w:val="left"/>
            </w:pPr>
            <w:r>
              <w:rPr>
                <w:i/>
              </w:rPr>
              <w:t>Type of Action</w:t>
            </w:r>
          </w:p>
        </w:tc>
        <w:tc>
          <w:tcPr>
            <w:tcW w:w="0" w:type="auto"/>
          </w:tcPr>
          <w:p w14:paraId="68899659" w14:textId="77777777" w:rsidR="00D84031" w:rsidRDefault="007965BB">
            <w:pPr>
              <w:pStyle w:val="CellTextValue"/>
            </w:pPr>
            <w:r>
              <w:rPr>
                <w:color w:val="000000"/>
              </w:rPr>
              <w:t>Research and Innovation Actions</w:t>
            </w:r>
          </w:p>
        </w:tc>
      </w:tr>
      <w:tr w:rsidR="00D84031" w14:paraId="21FA5856" w14:textId="77777777">
        <w:tc>
          <w:tcPr>
            <w:tcW w:w="0" w:type="auto"/>
          </w:tcPr>
          <w:p w14:paraId="6D9D448D" w14:textId="77777777" w:rsidR="00D84031" w:rsidRDefault="007965BB">
            <w:pPr>
              <w:pStyle w:val="CellTextValue"/>
              <w:jc w:val="left"/>
            </w:pPr>
            <w:r>
              <w:rPr>
                <w:i/>
              </w:rPr>
              <w:t>Legal and financial set-up of the Grant Agreements</w:t>
            </w:r>
          </w:p>
        </w:tc>
        <w:tc>
          <w:tcPr>
            <w:tcW w:w="0" w:type="auto"/>
          </w:tcPr>
          <w:p w14:paraId="455BD174" w14:textId="77777777" w:rsidR="00D84031" w:rsidRDefault="007965BB">
            <w:pPr>
              <w:pStyle w:val="CellTextValue"/>
            </w:pPr>
            <w:r>
              <w:rPr>
                <w:color w:val="000000"/>
              </w:rPr>
              <w:t>The rules are described in General Annex G. The following exceptions apply:</w:t>
            </w:r>
          </w:p>
          <w:p w14:paraId="6E7F3AA9"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49"/>
            </w:r>
            <w:r>
              <w:rPr>
                <w:color w:val="000000"/>
              </w:rPr>
              <w:t>.</w:t>
            </w:r>
          </w:p>
        </w:tc>
      </w:tr>
    </w:tbl>
    <w:p w14:paraId="1C1BA74C" w14:textId="77777777" w:rsidR="00D84031" w:rsidRDefault="00D84031">
      <w:pPr>
        <w:spacing w:after="0" w:line="150" w:lineRule="auto"/>
      </w:pPr>
    </w:p>
    <w:p w14:paraId="6BEDD018" w14:textId="77777777" w:rsidR="00D84031" w:rsidRDefault="007965BB">
      <w:r>
        <w:rPr>
          <w:u w:val="single"/>
        </w:rPr>
        <w:t>Expected Outcome</w:t>
      </w:r>
      <w:r>
        <w:t xml:space="preserve">: </w:t>
      </w:r>
      <w:r>
        <w:rPr>
          <w:color w:val="000000"/>
        </w:rPr>
        <w:t>Projects should contribute to all of the following expected outcomes:</w:t>
      </w:r>
    </w:p>
    <w:p w14:paraId="1D551F7C" w14:textId="77777777" w:rsidR="00D84031" w:rsidRDefault="007965BB" w:rsidP="00C62CF4">
      <w:pPr>
        <w:pStyle w:val="ListParagraph"/>
        <w:numPr>
          <w:ilvl w:val="0"/>
          <w:numId w:val="22"/>
        </w:numPr>
      </w:pPr>
      <w:r>
        <w:rPr>
          <w:color w:val="000000"/>
        </w:rPr>
        <w:t xml:space="preserve">Policymakers, public administrations, human rights </w:t>
      </w:r>
      <w:r>
        <w:rPr>
          <w:color w:val="000000"/>
        </w:rPr>
        <w:t>organisations, and civil society actors have strengthened mechanisms to protect vulnerable groups (such as women, LGBTIQ people, and minorities) in contexts of autocracy, conflict, and geopolitical instability, informed by evidence-based policy recommendations.</w:t>
      </w:r>
    </w:p>
    <w:p w14:paraId="65A587C6" w14:textId="77777777" w:rsidR="00D84031" w:rsidRDefault="007965BB" w:rsidP="00C62CF4">
      <w:pPr>
        <w:pStyle w:val="ListParagraph"/>
        <w:numPr>
          <w:ilvl w:val="0"/>
          <w:numId w:val="22"/>
        </w:numPr>
      </w:pPr>
      <w:r>
        <w:rPr>
          <w:color w:val="000000"/>
        </w:rPr>
        <w:t>Researchers and data collection bodies benefit from robust methodologies to systematically document and analyse the impact of democratic backsliding, conflict, and geopolitical shifts on the rights of these specific vulnerable groups, improving data availability and comparability across regions.</w:t>
      </w:r>
    </w:p>
    <w:p w14:paraId="1A56ABD2" w14:textId="77777777" w:rsidR="00D84031" w:rsidRDefault="007965BB" w:rsidP="00C62CF4">
      <w:pPr>
        <w:pStyle w:val="ListParagraph"/>
        <w:numPr>
          <w:ilvl w:val="0"/>
          <w:numId w:val="22"/>
        </w:numPr>
      </w:pPr>
      <w:r>
        <w:rPr>
          <w:color w:val="000000"/>
        </w:rPr>
        <w:t xml:space="preserve">Civil society organisations and grassroots movements have enhanced their resilience and advocacy strategies, thanks to the identification of best practices and innovative </w:t>
      </w:r>
      <w:r>
        <w:rPr>
          <w:color w:val="000000"/>
        </w:rPr>
        <w:lastRenderedPageBreak/>
        <w:t xml:space="preserve">approaches to counter repression, expand civic space, and promote inclusive governance, even in authoritarian or conflict settings.  </w:t>
      </w:r>
    </w:p>
    <w:p w14:paraId="0A0A588E" w14:textId="77777777" w:rsidR="00D84031" w:rsidRDefault="007965BB">
      <w:r>
        <w:rPr>
          <w:u w:val="single"/>
        </w:rPr>
        <w:t>Scope</w:t>
      </w:r>
      <w:r>
        <w:t xml:space="preserve">: </w:t>
      </w:r>
      <w:r>
        <w:rPr>
          <w:color w:val="000000"/>
        </w:rPr>
        <w:t>Autocratic regimes, armed conflicts, and global geopolitical shifts pose significant threats to fundamental rights. These challenges manifest in the rollback of legal protections, increased political violence, shrinking civic space, and targeted discrimination, both offline and online. In this context, a deeper understanding of the disproportionate impact of these crises on different groups is key to developing more targeted and effective policies.</w:t>
      </w:r>
    </w:p>
    <w:p w14:paraId="49F3FB14" w14:textId="77777777" w:rsidR="00D84031" w:rsidRDefault="007965BB">
      <w:r>
        <w:rPr>
          <w:color w:val="000000"/>
        </w:rPr>
        <w:t>The proposed research should examine the intersection of age, gender, sex, sexual orientation, minority status, or migratory background, in contexts of democratic erosion, authoritarian governance, and geopolitical crises. It can focus on one or multiple vulnerable groups, such as women, LGBTIQ people, ethnic and/or religious minorities. Case studies could be selected to reflect a wide range of geopolitical contexts, including regions undergoing democratic erosion, post-conflict reconstruction, or consolida</w:t>
      </w:r>
      <w:r>
        <w:rPr>
          <w:color w:val="000000"/>
        </w:rPr>
        <w:t xml:space="preserve">tion of authoritarian rule. </w:t>
      </w:r>
    </w:p>
    <w:p w14:paraId="2FF410A6" w14:textId="77777777" w:rsidR="00D84031" w:rsidRDefault="007965BB">
      <w:r>
        <w:rPr>
          <w:color w:val="000000"/>
        </w:rPr>
        <w:t xml:space="preserve">The proposed research should analyse how legal and institutional frameworks are weaponised and leveraged by authoritarian actors to restrict rights, the role of civil society in resisting repression, and the impact of digital surveillance, algorithmic discrimination and online disinformation to target specific vulnerable groups. </w:t>
      </w:r>
    </w:p>
    <w:p w14:paraId="412F76BD" w14:textId="77777777" w:rsidR="00D84031" w:rsidRDefault="007965BB">
      <w:r>
        <w:rPr>
          <w:color w:val="000000"/>
        </w:rPr>
        <w:t>Particular attention should be given to the restricted access to sexual and reproductive health rights during crises, armed conflicts, and geopolitical shifts, as well as the prevalence of gender-based violence (GBV). In such contexts, GBV can be frequently used as a coercive tactic, reinforcing discrimination and reversing progress on gender equality. Hate-motivated violence can become even more complex when directed at women and vulnerable groups, further limiting their access to humanitarian assistance a</w:t>
      </w:r>
      <w:r>
        <w:rPr>
          <w:color w:val="000000"/>
        </w:rPr>
        <w:t>nd undermining their fundamental rights. Therefore, the proposed research should develop prevention and response strategies for public administration, law enforcement, and military bodies to combat GBV effectively in crisis situations.</w:t>
      </w:r>
    </w:p>
    <w:p w14:paraId="54EB009C" w14:textId="77777777" w:rsidR="00D84031" w:rsidRDefault="007965BB">
      <w:r>
        <w:rPr>
          <w:color w:val="000000"/>
        </w:rPr>
        <w:t>Proposals should adopt a comparative and interdisciplinary approach to document the impact of crisis and conflicts on gender equality and equal rights, drawing from SSH disciplines such as political science, economics, sociology, law, psychology, gender and human rights studies. They should integrate a strong data-driven approach and could explore aspects such as:</w:t>
      </w:r>
    </w:p>
    <w:p w14:paraId="5683333E" w14:textId="77777777" w:rsidR="00D84031" w:rsidRDefault="007965BB" w:rsidP="00C62CF4">
      <w:pPr>
        <w:pStyle w:val="ListParagraph"/>
        <w:numPr>
          <w:ilvl w:val="0"/>
          <w:numId w:val="23"/>
        </w:numPr>
      </w:pPr>
      <w:r>
        <w:rPr>
          <w:color w:val="000000"/>
        </w:rPr>
        <w:t>Mapping and measuring the compounded effects of conflict, forced displacement, and democratic backsliding on access to rights, services, and political participation.</w:t>
      </w:r>
    </w:p>
    <w:p w14:paraId="0251B1CF" w14:textId="77777777" w:rsidR="00D84031" w:rsidRDefault="007965BB" w:rsidP="00C62CF4">
      <w:pPr>
        <w:pStyle w:val="ListParagraph"/>
        <w:numPr>
          <w:ilvl w:val="0"/>
          <w:numId w:val="23"/>
        </w:numPr>
      </w:pPr>
      <w:r>
        <w:rPr>
          <w:color w:val="000000"/>
        </w:rPr>
        <w:t xml:space="preserve">Developing new methodologies and indicators to assess the impact of shrinking civic space and legal </w:t>
      </w:r>
      <w:r>
        <w:rPr>
          <w:color w:val="000000"/>
        </w:rPr>
        <w:t>rollbacks on gender and minority rights.</w:t>
      </w:r>
    </w:p>
    <w:p w14:paraId="131F1557" w14:textId="77777777" w:rsidR="00D84031" w:rsidRDefault="007965BB" w:rsidP="00C62CF4">
      <w:pPr>
        <w:pStyle w:val="ListParagraph"/>
        <w:numPr>
          <w:ilvl w:val="0"/>
          <w:numId w:val="23"/>
        </w:numPr>
      </w:pPr>
      <w:r>
        <w:rPr>
          <w:color w:val="000000"/>
        </w:rPr>
        <w:t xml:space="preserve">Creating data-driven tools or policy dashboards to monitor the evolving risks faced by women, LGBTIQ people, and/or various minority groups in authoritarian and post-conflict settings.  </w:t>
      </w:r>
    </w:p>
    <w:p w14:paraId="2A82547F" w14:textId="77777777" w:rsidR="00D84031" w:rsidRDefault="007965BB">
      <w:r>
        <w:rPr>
          <w:color w:val="000000"/>
        </w:rPr>
        <w:lastRenderedPageBreak/>
        <w:t xml:space="preserve">Proposals should adopt a multi-scalar approach that connects grassroots-level experiences of discrimination and exclusion with macro-level geopolitical, legal and policy frameworks. Proposals could assess how international and European actors can effectively counter these trends through diplomatic efforts, development cooperation, and targeted support for civil society. Engaging with policymakers, human rights organisations, and affected communities is essential. </w:t>
      </w:r>
    </w:p>
    <w:p w14:paraId="64F044DB" w14:textId="77777777" w:rsidR="00D84031" w:rsidRDefault="007965BB">
      <w:r>
        <w:rPr>
          <w:color w:val="000000"/>
        </w:rPr>
        <w:t>Proposals are encouraged to seek collaboration whenever possible with relevant projects selected under previous EU-funded calls, such as HORIZON-CL2-2025-01-DEMOCRACY-07: “The autocratic appeal: nature, drivers and strategies”.</w:t>
      </w:r>
    </w:p>
    <w:p w14:paraId="708E72A7" w14:textId="77777777" w:rsidR="00D84031" w:rsidRDefault="007965BB">
      <w:r>
        <w:rPr>
          <w:color w:val="000000"/>
        </w:rPr>
        <w:t>Where applicable, proposals should leverage the data and services available through European Research Infrastructures federated under the European Open Science Cloud (EOSC), as well as data from relevant Data Spaces. Particular efforts should be made to ensure that the data produced in the context of this topic is FAIR (Findable, Accessible, Interoperable and Re-usable).</w:t>
      </w:r>
    </w:p>
    <w:p w14:paraId="23D15C7E" w14:textId="77777777" w:rsidR="00D84031" w:rsidRDefault="007965BB">
      <w:pPr>
        <w:pStyle w:val="HeadingThree"/>
      </w:pPr>
      <w:r>
        <w:t xml:space="preserve">HORIZON-CL2-2027-01-DEMOCRACY-03: Student and family engagement for developing a culture of democratic/civic participation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1270DAB2" w14:textId="77777777" w:rsidTr="00C62CF4">
        <w:tc>
          <w:tcPr>
            <w:tcW w:w="0" w:type="auto"/>
            <w:gridSpan w:val="2"/>
          </w:tcPr>
          <w:p w14:paraId="31D60FF0" w14:textId="77777777" w:rsidR="00D84031" w:rsidRDefault="007965BB">
            <w:pPr>
              <w:pStyle w:val="CellTextValue"/>
            </w:pPr>
            <w:r>
              <w:rPr>
                <w:b/>
              </w:rPr>
              <w:t>Call: Culture, Creativity and Inclusive Society - 2027</w:t>
            </w:r>
          </w:p>
        </w:tc>
      </w:tr>
      <w:tr w:rsidR="00C62CF4" w14:paraId="1F77C0CF" w14:textId="77777777" w:rsidTr="00C62CF4">
        <w:tc>
          <w:tcPr>
            <w:tcW w:w="0" w:type="auto"/>
            <w:gridSpan w:val="2"/>
          </w:tcPr>
          <w:p w14:paraId="0E82A9AC" w14:textId="77777777" w:rsidR="00D84031" w:rsidRDefault="007965BB">
            <w:pPr>
              <w:pStyle w:val="CellTextValue"/>
            </w:pPr>
            <w:r>
              <w:rPr>
                <w:b/>
              </w:rPr>
              <w:t>Specific conditions</w:t>
            </w:r>
          </w:p>
        </w:tc>
      </w:tr>
      <w:tr w:rsidR="00D84031" w14:paraId="7575C0F4" w14:textId="77777777">
        <w:tc>
          <w:tcPr>
            <w:tcW w:w="0" w:type="auto"/>
          </w:tcPr>
          <w:p w14:paraId="502C95F9" w14:textId="77777777" w:rsidR="00D84031" w:rsidRDefault="007965BB">
            <w:pPr>
              <w:pStyle w:val="CellTextValue"/>
              <w:jc w:val="left"/>
            </w:pPr>
            <w:r>
              <w:rPr>
                <w:i/>
              </w:rPr>
              <w:t>Expected EU contribution per project</w:t>
            </w:r>
          </w:p>
        </w:tc>
        <w:tc>
          <w:tcPr>
            <w:tcW w:w="0" w:type="auto"/>
          </w:tcPr>
          <w:p w14:paraId="598243F4" w14:textId="77777777" w:rsidR="00D84031" w:rsidRDefault="007965BB">
            <w:pPr>
              <w:pStyle w:val="CellTextValue"/>
            </w:pPr>
            <w:r>
              <w:t>The Commission estimates that an EU contribution of between EUR 3.50 and 4.00 million would allow these outcomes to be addressed appropriately. Nonetheless, this does not preclude submission and selection of a proposal requesting different amounts.</w:t>
            </w:r>
          </w:p>
        </w:tc>
      </w:tr>
      <w:tr w:rsidR="00D84031" w14:paraId="45EFC974" w14:textId="77777777">
        <w:tc>
          <w:tcPr>
            <w:tcW w:w="0" w:type="auto"/>
          </w:tcPr>
          <w:p w14:paraId="41783E43" w14:textId="77777777" w:rsidR="00D84031" w:rsidRDefault="007965BB">
            <w:pPr>
              <w:pStyle w:val="CellTextValue"/>
              <w:jc w:val="left"/>
            </w:pPr>
            <w:r>
              <w:rPr>
                <w:i/>
              </w:rPr>
              <w:t>Indicative budget</w:t>
            </w:r>
          </w:p>
        </w:tc>
        <w:tc>
          <w:tcPr>
            <w:tcW w:w="0" w:type="auto"/>
          </w:tcPr>
          <w:p w14:paraId="3CF9604A" w14:textId="77777777" w:rsidR="00D84031" w:rsidRDefault="007965BB">
            <w:pPr>
              <w:pStyle w:val="CellTextValue"/>
            </w:pPr>
            <w:r>
              <w:t>The total indicative budget for the topic is EUR 12.00 million.</w:t>
            </w:r>
          </w:p>
        </w:tc>
      </w:tr>
      <w:tr w:rsidR="00D84031" w14:paraId="037D738D" w14:textId="77777777">
        <w:tc>
          <w:tcPr>
            <w:tcW w:w="0" w:type="auto"/>
          </w:tcPr>
          <w:p w14:paraId="1B10476D" w14:textId="77777777" w:rsidR="00D84031" w:rsidRDefault="007965BB">
            <w:pPr>
              <w:pStyle w:val="CellTextValue"/>
              <w:jc w:val="left"/>
            </w:pPr>
            <w:r>
              <w:rPr>
                <w:i/>
              </w:rPr>
              <w:t>Type of Action</w:t>
            </w:r>
          </w:p>
        </w:tc>
        <w:tc>
          <w:tcPr>
            <w:tcW w:w="0" w:type="auto"/>
          </w:tcPr>
          <w:p w14:paraId="5A90E3BB" w14:textId="77777777" w:rsidR="00D84031" w:rsidRDefault="007965BB">
            <w:pPr>
              <w:pStyle w:val="CellTextValue"/>
            </w:pPr>
            <w:r>
              <w:rPr>
                <w:color w:val="000000"/>
              </w:rPr>
              <w:t>Research and Innovation Actions</w:t>
            </w:r>
          </w:p>
        </w:tc>
      </w:tr>
      <w:tr w:rsidR="00D84031" w14:paraId="2497BDEA" w14:textId="77777777">
        <w:tc>
          <w:tcPr>
            <w:tcW w:w="0" w:type="auto"/>
          </w:tcPr>
          <w:p w14:paraId="7EC689F0" w14:textId="77777777" w:rsidR="00D84031" w:rsidRDefault="007965BB">
            <w:pPr>
              <w:pStyle w:val="CellTextValue"/>
              <w:jc w:val="left"/>
            </w:pPr>
            <w:r>
              <w:rPr>
                <w:i/>
              </w:rPr>
              <w:t>Legal and financial set-up of the Grant Agreements</w:t>
            </w:r>
          </w:p>
        </w:tc>
        <w:tc>
          <w:tcPr>
            <w:tcW w:w="0" w:type="auto"/>
          </w:tcPr>
          <w:p w14:paraId="21A6B25A" w14:textId="77777777" w:rsidR="00D84031" w:rsidRDefault="007965BB">
            <w:pPr>
              <w:pStyle w:val="CellTextValue"/>
            </w:pPr>
            <w:r>
              <w:rPr>
                <w:color w:val="000000"/>
              </w:rPr>
              <w:t>The rules are described in General Annex G. The following exceptions apply:</w:t>
            </w:r>
          </w:p>
          <w:p w14:paraId="1314EB68"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50"/>
            </w:r>
            <w:r>
              <w:rPr>
                <w:color w:val="000000"/>
              </w:rPr>
              <w:t>.</w:t>
            </w:r>
          </w:p>
        </w:tc>
      </w:tr>
    </w:tbl>
    <w:p w14:paraId="6C5D7845" w14:textId="77777777" w:rsidR="00D84031" w:rsidRDefault="00D84031">
      <w:pPr>
        <w:spacing w:after="0" w:line="150" w:lineRule="auto"/>
      </w:pPr>
    </w:p>
    <w:p w14:paraId="58DBED18" w14:textId="77777777" w:rsidR="00D84031" w:rsidRDefault="007965BB">
      <w:r>
        <w:rPr>
          <w:u w:val="single"/>
        </w:rPr>
        <w:t>Expected Outcome</w:t>
      </w:r>
      <w:r>
        <w:t xml:space="preserve">: </w:t>
      </w:r>
      <w:r>
        <w:rPr>
          <w:color w:val="000000"/>
        </w:rPr>
        <w:t>Projects should contribute to all of the following expected outcomes:</w:t>
      </w:r>
    </w:p>
    <w:p w14:paraId="08239FA4" w14:textId="77777777" w:rsidR="00D84031" w:rsidRDefault="007965BB" w:rsidP="00C62CF4">
      <w:pPr>
        <w:pStyle w:val="ListParagraph"/>
        <w:numPr>
          <w:ilvl w:val="0"/>
          <w:numId w:val="24"/>
        </w:numPr>
      </w:pPr>
      <w:r>
        <w:rPr>
          <w:color w:val="000000"/>
        </w:rPr>
        <w:lastRenderedPageBreak/>
        <w:t>Policymakers, education and training institutions, and educators will be provided with an evidence base, toolkits, and recommendations on the types of collaboration mechanisms with families that are most effective in supporting schools' efforts to provide citizenship education.</w:t>
      </w:r>
    </w:p>
    <w:p w14:paraId="59B01BF6" w14:textId="77777777" w:rsidR="00D84031" w:rsidRDefault="007965BB" w:rsidP="00C62CF4">
      <w:pPr>
        <w:pStyle w:val="ListParagraph"/>
        <w:numPr>
          <w:ilvl w:val="0"/>
          <w:numId w:val="24"/>
        </w:numPr>
      </w:pPr>
      <w:r>
        <w:rPr>
          <w:color w:val="000000"/>
        </w:rPr>
        <w:t>Policymakers, education and training institutions, and educators will have a deeper understanding of the effectiveness of student councils and other student participatory mechanisms on influencing school decision-making and on student civic engagement.</w:t>
      </w:r>
    </w:p>
    <w:p w14:paraId="542D8DD9" w14:textId="77777777" w:rsidR="00D84031" w:rsidRDefault="007965BB" w:rsidP="00C62CF4">
      <w:pPr>
        <w:pStyle w:val="ListParagraph"/>
        <w:numPr>
          <w:ilvl w:val="0"/>
          <w:numId w:val="24"/>
        </w:numPr>
      </w:pPr>
      <w:r>
        <w:rPr>
          <w:color w:val="000000"/>
        </w:rPr>
        <w:t xml:space="preserve">Policymakers, education and training institutions, and educators will have a deeper understanding of the impact of family involvement on citizenship education in schools. </w:t>
      </w:r>
    </w:p>
    <w:p w14:paraId="72A7A3BB" w14:textId="77777777" w:rsidR="00D84031" w:rsidRDefault="007965BB" w:rsidP="00C62CF4">
      <w:pPr>
        <w:pStyle w:val="ListParagraph"/>
        <w:numPr>
          <w:ilvl w:val="0"/>
          <w:numId w:val="24"/>
        </w:numPr>
      </w:pPr>
      <w:r>
        <w:rPr>
          <w:color w:val="000000"/>
        </w:rPr>
        <w:t xml:space="preserve">Educators have frameworks, guidance, and tools for evaluating social-emotional learning, including values and attitudes, as part of citizenship education.  </w:t>
      </w:r>
    </w:p>
    <w:p w14:paraId="24413E56" w14:textId="77777777" w:rsidR="00D84031" w:rsidRDefault="007965BB">
      <w:r>
        <w:rPr>
          <w:u w:val="single"/>
        </w:rPr>
        <w:t>Scope</w:t>
      </w:r>
      <w:r>
        <w:t xml:space="preserve">: </w:t>
      </w:r>
      <w:r>
        <w:rPr>
          <w:color w:val="000000"/>
        </w:rPr>
        <w:t>Research should examine schools as a locus for practicing participation and developing innovative participatory practices.</w:t>
      </w:r>
    </w:p>
    <w:p w14:paraId="76013764" w14:textId="77777777" w:rsidR="00D84031" w:rsidRDefault="007965BB">
      <w:r>
        <w:rPr>
          <w:color w:val="000000"/>
        </w:rPr>
        <w:t xml:space="preserve">Research should examine student and parental engagement for a democratic school culture. It should consider schools as social places for intergenerational dialogue. </w:t>
      </w:r>
    </w:p>
    <w:p w14:paraId="27B6E27A" w14:textId="77777777" w:rsidR="00D84031" w:rsidRDefault="007965BB">
      <w:r>
        <w:rPr>
          <w:color w:val="000000"/>
        </w:rPr>
        <w:t>Research should examine the role of socio-emotional learning in tackling sensitive topics in the classroom and in fostering civic agency development among learners. Research could explore the emotions that drive civic engagement and investigate strategies to help students emotionally cope with frustrations when their civic engagement efforts do not unfold as expected. Research should integrate a gender-sensitive and intersectional approach, by studying how student groups contribute and respond to civic enga</w:t>
      </w:r>
      <w:r>
        <w:rPr>
          <w:color w:val="000000"/>
        </w:rPr>
        <w:t>gement efforts differently according to their identity.</w:t>
      </w:r>
    </w:p>
    <w:p w14:paraId="2E1B3292" w14:textId="77777777" w:rsidR="00D84031" w:rsidRDefault="007965BB">
      <w:r>
        <w:rPr>
          <w:color w:val="000000"/>
        </w:rPr>
        <w:t>Research should examine the active role of families in building children and young people's civic identity. Parents/caregivers and the wider family are key in children and young people’s informal learning, shaping their interests, values, and world-views; family involvement in school citizenship education might vary in more diverse communities, depending on the family’s cultural, migrant or socio-economic backgrounds; some families may not appreciate the importance of teaching about social issues, democracy</w:t>
      </w:r>
      <w:r>
        <w:rPr>
          <w:color w:val="000000"/>
        </w:rPr>
        <w:t>, or civic participation or may feel excluded or disconnected from schools’ efforts to provide civic and citizenship education. Research should examine how citizenship education is reinforced or challenged outside the classroom, especially with growing polarization and diversity of our societies. The research should provide recommendations of how to effectively engage families from diverse backgrounds in their children's citizenship education. The main focus should be on parents and caregivers (legal guardi</w:t>
      </w:r>
      <w:r>
        <w:rPr>
          <w:color w:val="000000"/>
        </w:rPr>
        <w:t>ans); exploring other wider family influences is also possible.</w:t>
      </w:r>
    </w:p>
    <w:p w14:paraId="646FD31E" w14:textId="77777777" w:rsidR="00D84031" w:rsidRDefault="007965BB">
      <w:r>
        <w:rPr>
          <w:color w:val="000000"/>
        </w:rPr>
        <w:t xml:space="preserve">Research should examine families’ and students' views on the content of citizenship education and examine the role of curriculum design in promoting inclusive civic engagement among students from diverse backgrounds. Arts and humanities can be part of the disciplines </w:t>
      </w:r>
      <w:r>
        <w:rPr>
          <w:color w:val="000000"/>
        </w:rPr>
        <w:lastRenderedPageBreak/>
        <w:t xml:space="preserve">examined where relevant. Research should aim to identify the types of collaboration that not only bolster students' citizenship competence but also ensure inclusivity in their engagement. </w:t>
      </w:r>
    </w:p>
    <w:p w14:paraId="31031C10" w14:textId="77777777" w:rsidR="00D84031" w:rsidRDefault="007965BB">
      <w:r>
        <w:rPr>
          <w:color w:val="000000"/>
        </w:rPr>
        <w:t xml:space="preserve">The research should investigate the effectiveness of student councils and other participatory mechanisms in providing meaningful opportunities for student influence. Research should investigate the incentives and motives behind participation and uncover possible restrictions and motives for non-participation. It should exploit the tools that have been already developed in previous research projects in the area of civic participation. </w:t>
      </w:r>
    </w:p>
    <w:p w14:paraId="5F585672" w14:textId="77777777" w:rsidR="00D84031" w:rsidRDefault="007965BB">
      <w:r>
        <w:rPr>
          <w:color w:val="000000"/>
        </w:rPr>
        <w:t>Research should address the lack of formal monitoring and evaluation of these participatory mechanisms. It should develop frameworks, guidance, and tools for evaluation of socio-emotional learning, including values and attitudes as part of citizenship education.</w:t>
      </w:r>
    </w:p>
    <w:p w14:paraId="5AF93BF0" w14:textId="77777777" w:rsidR="00D84031" w:rsidRDefault="007965BB">
      <w:r>
        <w:rPr>
          <w:color w:val="000000"/>
        </w:rPr>
        <w:t>Research can</w:t>
      </w:r>
      <w:r>
        <w:rPr>
          <w:b/>
          <w:color w:val="000000"/>
        </w:rPr>
        <w:t xml:space="preserve"> </w:t>
      </w:r>
      <w:r>
        <w:rPr>
          <w:color w:val="000000"/>
        </w:rPr>
        <w:t xml:space="preserve">explore whether and how engaging families in citizenship education and </w:t>
      </w:r>
      <w:r>
        <w:rPr>
          <w:color w:val="000000"/>
        </w:rPr>
        <w:t>democratic school culture influences both the civic participation of children and young people, and that of the families. Emphasis could be placed on schools in marginalised areas or with high migrant populations, to uncover structural barriers to civic engagement in those settings.</w:t>
      </w:r>
    </w:p>
    <w:p w14:paraId="267D4EF0" w14:textId="77777777" w:rsidR="00D84031" w:rsidRDefault="007965BB">
      <w:r>
        <w:rPr>
          <w:color w:val="000000"/>
        </w:rPr>
        <w:t xml:space="preserve">Research should include pilots or living labs, developing innovative participation practices in schools, where students learn to recognise and exercise their citizenship rights and obligations, strengthen the value of democracy, and build their identity as active citizens. Projects should collaborate with schools and education authorities in the development and running of these pilots and living labs. </w:t>
      </w:r>
    </w:p>
    <w:p w14:paraId="304A247B" w14:textId="77777777" w:rsidR="00D84031" w:rsidRDefault="007965BB">
      <w:r>
        <w:rPr>
          <w:color w:val="000000"/>
        </w:rPr>
        <w:t>Projects may freely choose the age group they will examine, as long as it remains within primary and/or secondary education levels.</w:t>
      </w:r>
    </w:p>
    <w:p w14:paraId="27664D9D" w14:textId="77777777" w:rsidR="00D84031" w:rsidRDefault="007965BB">
      <w:pPr>
        <w:pStyle w:val="HeadingThree"/>
      </w:pPr>
      <w:r>
        <w:t>HORIZON-CL2-2027-01-DEMOCRACY-04: Addressing the impact of artificial intelligence, cyberviolence, and deepfakes on equality, democracy and inclusive societies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C62CF4" w14:paraId="0D9561DF" w14:textId="77777777" w:rsidTr="00C62CF4">
        <w:tc>
          <w:tcPr>
            <w:tcW w:w="0" w:type="auto"/>
            <w:gridSpan w:val="2"/>
          </w:tcPr>
          <w:p w14:paraId="1ABC4C17" w14:textId="77777777" w:rsidR="00D84031" w:rsidRDefault="007965BB">
            <w:pPr>
              <w:pStyle w:val="CellTextValue"/>
            </w:pPr>
            <w:r>
              <w:rPr>
                <w:b/>
              </w:rPr>
              <w:t>Call: Culture, Creativity and Inclusive Society - 2027</w:t>
            </w:r>
          </w:p>
        </w:tc>
      </w:tr>
      <w:tr w:rsidR="00C62CF4" w14:paraId="5C7B9298" w14:textId="77777777" w:rsidTr="00C62CF4">
        <w:tc>
          <w:tcPr>
            <w:tcW w:w="0" w:type="auto"/>
            <w:gridSpan w:val="2"/>
          </w:tcPr>
          <w:p w14:paraId="36D857AB" w14:textId="77777777" w:rsidR="00D84031" w:rsidRDefault="007965BB">
            <w:pPr>
              <w:pStyle w:val="CellTextValue"/>
            </w:pPr>
            <w:r>
              <w:rPr>
                <w:b/>
              </w:rPr>
              <w:t>Specific conditions</w:t>
            </w:r>
          </w:p>
        </w:tc>
      </w:tr>
      <w:tr w:rsidR="00D84031" w14:paraId="066F1F81" w14:textId="77777777">
        <w:tc>
          <w:tcPr>
            <w:tcW w:w="0" w:type="auto"/>
          </w:tcPr>
          <w:p w14:paraId="0BB3B2B4" w14:textId="77777777" w:rsidR="00D84031" w:rsidRDefault="007965BB">
            <w:pPr>
              <w:pStyle w:val="CellTextValue"/>
              <w:jc w:val="left"/>
            </w:pPr>
            <w:r>
              <w:rPr>
                <w:i/>
              </w:rPr>
              <w:t>Expected EU contribution per project</w:t>
            </w:r>
          </w:p>
        </w:tc>
        <w:tc>
          <w:tcPr>
            <w:tcW w:w="0" w:type="auto"/>
          </w:tcPr>
          <w:p w14:paraId="07DB62EF" w14:textId="77777777" w:rsidR="00D84031" w:rsidRDefault="007965BB">
            <w:pPr>
              <w:pStyle w:val="CellTextValue"/>
            </w:pPr>
            <w:r>
              <w:t xml:space="preserve">The Commission estimates that an EU contribution of between EUR 3.50 and 4.00 million would allow these outcomes to be addressed appropriately. Nonetheless, this does not </w:t>
            </w:r>
            <w:r>
              <w:t>preclude submission and selection of a proposal requesting different amounts.</w:t>
            </w:r>
          </w:p>
        </w:tc>
      </w:tr>
      <w:tr w:rsidR="00D84031" w14:paraId="1040FE6D" w14:textId="77777777">
        <w:tc>
          <w:tcPr>
            <w:tcW w:w="0" w:type="auto"/>
          </w:tcPr>
          <w:p w14:paraId="70183F93" w14:textId="77777777" w:rsidR="00D84031" w:rsidRDefault="007965BB">
            <w:pPr>
              <w:pStyle w:val="CellTextValue"/>
              <w:jc w:val="left"/>
            </w:pPr>
            <w:r>
              <w:rPr>
                <w:i/>
              </w:rPr>
              <w:t>Indicative budget</w:t>
            </w:r>
          </w:p>
        </w:tc>
        <w:tc>
          <w:tcPr>
            <w:tcW w:w="0" w:type="auto"/>
          </w:tcPr>
          <w:p w14:paraId="6D4BCE94" w14:textId="77777777" w:rsidR="00D84031" w:rsidRDefault="007965BB">
            <w:pPr>
              <w:pStyle w:val="CellTextValue"/>
            </w:pPr>
            <w:r>
              <w:t>The total indicative budget for the topic is EUR 20.00 million.</w:t>
            </w:r>
          </w:p>
        </w:tc>
      </w:tr>
      <w:tr w:rsidR="00D84031" w14:paraId="522B4A54" w14:textId="77777777">
        <w:tc>
          <w:tcPr>
            <w:tcW w:w="0" w:type="auto"/>
          </w:tcPr>
          <w:p w14:paraId="286D5C6A" w14:textId="77777777" w:rsidR="00D84031" w:rsidRDefault="007965BB">
            <w:pPr>
              <w:pStyle w:val="CellTextValue"/>
              <w:jc w:val="left"/>
            </w:pPr>
            <w:r>
              <w:rPr>
                <w:i/>
              </w:rPr>
              <w:t>Type of Action</w:t>
            </w:r>
          </w:p>
        </w:tc>
        <w:tc>
          <w:tcPr>
            <w:tcW w:w="0" w:type="auto"/>
          </w:tcPr>
          <w:p w14:paraId="067F068F" w14:textId="77777777" w:rsidR="00D84031" w:rsidRDefault="007965BB">
            <w:pPr>
              <w:pStyle w:val="CellTextValue"/>
            </w:pPr>
            <w:r>
              <w:rPr>
                <w:color w:val="000000"/>
              </w:rPr>
              <w:t>Research and Innovation Actions</w:t>
            </w:r>
          </w:p>
        </w:tc>
      </w:tr>
      <w:tr w:rsidR="00D84031" w14:paraId="2BB4C35A" w14:textId="77777777">
        <w:tc>
          <w:tcPr>
            <w:tcW w:w="0" w:type="auto"/>
          </w:tcPr>
          <w:p w14:paraId="61CF6310" w14:textId="77777777" w:rsidR="00D84031" w:rsidRDefault="007965BB">
            <w:pPr>
              <w:pStyle w:val="CellTextValue"/>
              <w:jc w:val="left"/>
            </w:pPr>
            <w:r>
              <w:rPr>
                <w:i/>
              </w:rPr>
              <w:t>Eligibility conditions</w:t>
            </w:r>
          </w:p>
        </w:tc>
        <w:tc>
          <w:tcPr>
            <w:tcW w:w="0" w:type="auto"/>
          </w:tcPr>
          <w:p w14:paraId="6C1841E3" w14:textId="77777777" w:rsidR="00D84031" w:rsidRDefault="007965BB">
            <w:pPr>
              <w:pStyle w:val="CellTextValue"/>
            </w:pPr>
            <w:r>
              <w:rPr>
                <w:color w:val="000000"/>
              </w:rPr>
              <w:t>The conditions are described in General Annex B. The following exceptions apply:</w:t>
            </w:r>
          </w:p>
          <w:p w14:paraId="79A4A2F0" w14:textId="77777777" w:rsidR="00D84031" w:rsidRDefault="007965BB">
            <w:pPr>
              <w:pStyle w:val="CellTextValue"/>
            </w:pPr>
            <w:r>
              <w:rPr>
                <w:color w:val="000000"/>
              </w:rPr>
              <w:t xml:space="preserve">The Joint Research Centre (JRC) may participate as member of the </w:t>
            </w:r>
            <w:r>
              <w:rPr>
                <w:color w:val="000000"/>
              </w:rPr>
              <w:lastRenderedPageBreak/>
              <w:t>consortium selected for funding as a beneficiary with zero funding, or as an associated partner. The JRC will not participate in the preparation and submission of the proposal - see General Annex B.</w:t>
            </w:r>
          </w:p>
          <w:p w14:paraId="3C0BCC98" w14:textId="77777777" w:rsidR="00D84031" w:rsidRDefault="007965BB">
            <w:pPr>
              <w:pStyle w:val="CellTextValue"/>
            </w:pPr>
            <w:r>
              <w:rPr>
                <w:color w:val="000000"/>
              </w:rPr>
              <w:t>Subject to restrictions for the protection of European communication networks.</w:t>
            </w:r>
          </w:p>
        </w:tc>
      </w:tr>
      <w:tr w:rsidR="00D84031" w14:paraId="451A5BF1" w14:textId="77777777">
        <w:tc>
          <w:tcPr>
            <w:tcW w:w="0" w:type="auto"/>
          </w:tcPr>
          <w:p w14:paraId="50B72F42" w14:textId="77777777" w:rsidR="00D84031" w:rsidRDefault="007965BB">
            <w:pPr>
              <w:pStyle w:val="CellTextValue"/>
              <w:jc w:val="left"/>
            </w:pPr>
            <w:r>
              <w:rPr>
                <w:i/>
              </w:rPr>
              <w:lastRenderedPageBreak/>
              <w:t>Legal and financial set-up of the Grant Agreements</w:t>
            </w:r>
          </w:p>
        </w:tc>
        <w:tc>
          <w:tcPr>
            <w:tcW w:w="0" w:type="auto"/>
          </w:tcPr>
          <w:p w14:paraId="1E9CCF78" w14:textId="77777777" w:rsidR="00D84031" w:rsidRDefault="007965BB">
            <w:pPr>
              <w:pStyle w:val="CellTextValue"/>
            </w:pPr>
            <w:r>
              <w:rPr>
                <w:color w:val="000000"/>
              </w:rPr>
              <w:t>The rules are described in General Annex G. The following exceptions apply:</w:t>
            </w:r>
          </w:p>
          <w:p w14:paraId="00CFF5EE"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51"/>
            </w:r>
            <w:r>
              <w:rPr>
                <w:color w:val="000000"/>
              </w:rPr>
              <w:t>.</w:t>
            </w:r>
          </w:p>
        </w:tc>
      </w:tr>
    </w:tbl>
    <w:p w14:paraId="1F45F409" w14:textId="77777777" w:rsidR="00D84031" w:rsidRDefault="00D84031">
      <w:pPr>
        <w:spacing w:after="0" w:line="150" w:lineRule="auto"/>
      </w:pPr>
    </w:p>
    <w:p w14:paraId="59AFC726" w14:textId="77777777" w:rsidR="00D84031" w:rsidRDefault="007965BB">
      <w:r>
        <w:rPr>
          <w:u w:val="single"/>
        </w:rPr>
        <w:t>Expected Outcome</w:t>
      </w:r>
      <w:r>
        <w:t xml:space="preserve">: </w:t>
      </w:r>
      <w:r>
        <w:rPr>
          <w:color w:val="000000"/>
        </w:rPr>
        <w:t>Projects should contribute to all of the following expected outcomes:</w:t>
      </w:r>
    </w:p>
    <w:p w14:paraId="4777DA64" w14:textId="77777777" w:rsidR="00D84031" w:rsidRDefault="007965BB" w:rsidP="00C62CF4">
      <w:pPr>
        <w:pStyle w:val="ListParagraph"/>
        <w:numPr>
          <w:ilvl w:val="0"/>
          <w:numId w:val="25"/>
        </w:numPr>
      </w:pPr>
      <w:r>
        <w:rPr>
          <w:color w:val="000000"/>
        </w:rPr>
        <w:t xml:space="preserve">Enhanced understanding of the impact of </w:t>
      </w:r>
      <w:r>
        <w:rPr>
          <w:color w:val="000000"/>
        </w:rPr>
        <w:t>AI-driven technologies, including AI-generated deepfakes and automated content generation on equality, political participation, democratic processes, public trust, and social cohesion, with evidence-based insights into their role in mitigating or exacerbating disparities.</w:t>
      </w:r>
    </w:p>
    <w:p w14:paraId="5C020325" w14:textId="77777777" w:rsidR="00D84031" w:rsidRDefault="007965BB" w:rsidP="00C62CF4">
      <w:pPr>
        <w:pStyle w:val="ListParagraph"/>
        <w:numPr>
          <w:ilvl w:val="0"/>
          <w:numId w:val="25"/>
        </w:numPr>
      </w:pPr>
      <w:r>
        <w:rPr>
          <w:color w:val="000000"/>
        </w:rPr>
        <w:t>Uptake of evidence-based policy frameworks for responsible and transparent AI governance, integrating ethical, legal, and societal considerations to safeguard fundamental rights, mitigate risks of disinformation, and ensure fair and safe AI deployment.</w:t>
      </w:r>
    </w:p>
    <w:p w14:paraId="543F93F5" w14:textId="77777777" w:rsidR="00D84031" w:rsidRDefault="007965BB" w:rsidP="00C62CF4">
      <w:pPr>
        <w:pStyle w:val="ListParagraph"/>
        <w:numPr>
          <w:ilvl w:val="0"/>
          <w:numId w:val="25"/>
        </w:numPr>
      </w:pPr>
      <w:r>
        <w:rPr>
          <w:color w:val="000000"/>
        </w:rPr>
        <w:t xml:space="preserve">Increased public awareness and media literacy to empower citizens to identify and critically assess disinformation, deepfakes, and online harm, alongside the uptake of evidence-based tools for preventing, detecting, and mitigating these harms. </w:t>
      </w:r>
    </w:p>
    <w:p w14:paraId="261BFEF7" w14:textId="77777777" w:rsidR="00D84031" w:rsidRDefault="007965BB" w:rsidP="00C62CF4">
      <w:pPr>
        <w:pStyle w:val="ListParagraph"/>
        <w:numPr>
          <w:ilvl w:val="0"/>
          <w:numId w:val="25"/>
        </w:numPr>
      </w:pPr>
      <w:r>
        <w:rPr>
          <w:color w:val="000000"/>
        </w:rPr>
        <w:t xml:space="preserve">Strengthened capacity of academic institutions to conduct societally relevant AI research and drive the development of trustworthy, ethical AI models, enabled by increased academia-industry collaboration and better access to e.g., computing infrastructure, high-quality datasets, collaborative tools, and funding.  </w:t>
      </w:r>
    </w:p>
    <w:p w14:paraId="1B10FEDB" w14:textId="77777777" w:rsidR="00D84031" w:rsidRDefault="007965BB">
      <w:r>
        <w:rPr>
          <w:u w:val="single"/>
        </w:rPr>
        <w:t>Scope</w:t>
      </w:r>
      <w:r>
        <w:t xml:space="preserve">: </w:t>
      </w:r>
      <w:r>
        <w:rPr>
          <w:color w:val="000000"/>
        </w:rPr>
        <w:t xml:space="preserve">The rapid development and deployment of AI technologies, alongside rising cyberviolence and deepfakes, profoundly impacts democracy, equality, social inclusion, and knowledge production. Although AI can offer many opportunities, its misuse can amplify inequalities and power imbalances, spread misinformation and cyberviolence against women and minorities, concentrate data control, and undermine democratic processes. Hence, this </w:t>
      </w:r>
      <w:r>
        <w:rPr>
          <w:color w:val="000000"/>
        </w:rPr>
        <w:lastRenderedPageBreak/>
        <w:t>topic addresses both the malicious use of AI (e.g. AI-generated disinformation,</w:t>
      </w:r>
      <w:r>
        <w:rPr>
          <w:color w:val="000000"/>
        </w:rPr>
        <w:t xml:space="preserve"> deepfakes, cyberviolence) and its unintentional societal consequences (e.g. algorithmic opacity, amplification of bias).</w:t>
      </w:r>
    </w:p>
    <w:p w14:paraId="760DE914" w14:textId="77777777" w:rsidR="00D84031" w:rsidRDefault="007965BB">
      <w:r>
        <w:rPr>
          <w:color w:val="000000"/>
        </w:rPr>
        <w:t>AI’s role in media influence and public trust demands urgent attention, as the rise of AI-generated content, including deepfakes, threatens democratic processes and epistemic rights. A key area of concern is the effect of AI, cyberviolence, and deepfakes on individuals or groups who distrust democracy, particularly where this distrust intersects with far-left and far-right populism and foreign interference.</w:t>
      </w:r>
    </w:p>
    <w:p w14:paraId="0EB39616" w14:textId="77777777" w:rsidR="00D84031" w:rsidRDefault="007965BB">
      <w:r>
        <w:rPr>
          <w:color w:val="000000"/>
        </w:rPr>
        <w:t>Proposals should explore how AI-driven technologies either exacerbate or mitigate inequalities and discriminations based on sex, gender, sexual orientation, racial or ethnic background, religion or belief, age, and disability, particularly in access to information, decision-making, and representation. A critical analysis is needed of how data - often reflecting existing social biases - can reinforce or challenge dominant social structures and safety, and how such technologies shape public perceptions and kn</w:t>
      </w:r>
      <w:r>
        <w:rPr>
          <w:color w:val="000000"/>
        </w:rPr>
        <w:t>owledge production.</w:t>
      </w:r>
    </w:p>
    <w:p w14:paraId="1A917A2C" w14:textId="77777777" w:rsidR="00D84031" w:rsidRDefault="007965BB">
      <w:r>
        <w:rPr>
          <w:color w:val="000000"/>
        </w:rPr>
        <w:t>The research should also explore the risks these technologies pose to democratic integrity, particularly through the manipulation of public opinion, electoral processes, and governance systems. Deepfakes and AI-generated misinformation can distort reality, spread false narratives, and undermine public trust. Addressing these concerns requires a comprehensive understanding of how AI shapes political campaigns, media narratives, public engagement, and spread (gendered) disinformation. Proposals are encouraged</w:t>
      </w:r>
      <w:r>
        <w:rPr>
          <w:color w:val="000000"/>
        </w:rPr>
        <w:t xml:space="preserve"> to examine how AI-generated content across media, including entertainment media, influence public opinion, social narratives, gender stereotypes and norms, and civic engagement.</w:t>
      </w:r>
    </w:p>
    <w:p w14:paraId="5A08BBF4" w14:textId="77777777" w:rsidR="00D84031" w:rsidRDefault="007965BB">
      <w:r>
        <w:rPr>
          <w:color w:val="000000"/>
        </w:rPr>
        <w:t>Furthermore, proposals should look into how cyberviolence, including online harassment, cyberbullying, threats, and gender-based violence, is exacerbated by AI-powered platforms through manipulated content like deepfakes, deep nudes and AI-driven sextortion. Research should identify how AI amplifies harm, what the nature of the AI-powered output is, and which groups are disproportionately affected by it, looking particularly at women and minorities, and explore interventions to prevent and mitigate these ri</w:t>
      </w:r>
      <w:r>
        <w:rPr>
          <w:color w:val="000000"/>
        </w:rPr>
        <w:t>sks. This includes analysing not only the unintended reproduction of cyberviolence through biased outputs, but also the ways in which AI-powered platforms may be misused by users to generate or spread harmful, discriminatory or violent content. A comprehensive assessment of unregulated AI-induced risks of sexual exploitation, violence, and gender-based harm is largely missing for effective regulation, oversight, and prosecution. A multidisciplinary review is needed to evaluate AI-driven risks exposing child</w:t>
      </w:r>
      <w:r>
        <w:rPr>
          <w:color w:val="000000"/>
        </w:rPr>
        <w:t>ren, young people, women, older persons and LGBTIQ people to such violence online and offline.</w:t>
      </w:r>
    </w:p>
    <w:p w14:paraId="1C1F74E8" w14:textId="77777777" w:rsidR="00D84031" w:rsidRDefault="007965BB">
      <w:r>
        <w:rPr>
          <w:color w:val="000000"/>
        </w:rPr>
        <w:t>Proposals should research on policy and regulatory solutions that can effectively address the challenges posed by AI technologies. This includes developing frameworks that balance innovation with the protection of individual rights and democratic values. Proposals should identify best practices and regulatory measures to ensure the ethical deployment of AI and AI literacy while safeguarding equality and democratic integrity. A key aspect of this research is recognising AI’s growing role in shaping policy an</w:t>
      </w:r>
      <w:r>
        <w:rPr>
          <w:color w:val="000000"/>
        </w:rPr>
        <w:t xml:space="preserve">d judicial decisions. While its integration </w:t>
      </w:r>
      <w:r>
        <w:rPr>
          <w:color w:val="000000"/>
        </w:rPr>
        <w:lastRenderedPageBreak/>
        <w:t xml:space="preserve">can improve efficiencies, concerns about bias and fairness persist. Proposals are encouraged to explore AI’s influence on legal and policy outcomes, including unintended consequences. </w:t>
      </w:r>
    </w:p>
    <w:p w14:paraId="7DD4A605" w14:textId="77777777" w:rsidR="00D84031" w:rsidRDefault="007965BB">
      <w:r>
        <w:rPr>
          <w:color w:val="000000"/>
        </w:rPr>
        <w:t>Additionally, proposals should consider AI’s use and impact on young people. Although AI is not specifically designed for minors, youth are among its most active users. Biases within AI-generated content, particularly related to sex gender, sexual orientation, ethnic and racial background, can shape young users’ perceptions, perpetuate stereotypes, affect engagement and mental well-being. Research should investigate how AI systems influence these aspects and the opportunities and risks associated, including</w:t>
      </w:r>
      <w:r>
        <w:rPr>
          <w:color w:val="000000"/>
        </w:rPr>
        <w:t xml:space="preserve"> the potential psychological effects of exposure to biased or harmful content.</w:t>
      </w:r>
    </w:p>
    <w:p w14:paraId="61F2016E" w14:textId="77777777" w:rsidR="00D84031" w:rsidRDefault="007965BB">
      <w:r>
        <w:rPr>
          <w:color w:val="000000"/>
        </w:rPr>
        <w:t>A key focus should be interdisciplinary research on AI’s role in societal resilience, tackling misinformation, enhancing civic engagement, and supporting marginalised communities. Proposals should explore inclusive and innovative tools and methodologies for detecting and mitigating deepfakes, disinformation, and cyberviolence, designed for broad adoption by policymakers, technology developers, media organisations, and the general public.</w:t>
      </w:r>
    </w:p>
    <w:p w14:paraId="1C2DBD4B" w14:textId="77777777" w:rsidR="00D84031" w:rsidRDefault="007965BB">
      <w:r>
        <w:rPr>
          <w:color w:val="000000"/>
        </w:rPr>
        <w:t>Effectively addressing these multifaceted challenges demands to combine data-driven analysis, drawing on expertise from a wide range of fields, including both academic disciplines (e.g., computer science, and SSH disciplines such as communication and media sciences, ethics, law, political science, sociology, psychology, and gender studies) and the applied perspectives of those involved in shaping and steering AI technologies in practice.</w:t>
      </w:r>
    </w:p>
    <w:p w14:paraId="21C3A20B" w14:textId="77777777" w:rsidR="00D84031" w:rsidRDefault="007965BB">
      <w:r>
        <w:rPr>
          <w:color w:val="000000"/>
        </w:rPr>
        <w:t>This research should contribute to the EU’s broader AI strategy, supporting the implementation of the Artificial Intelligence Act and aligning with the EU’s Political Guidelines for 2024-2029. This research should also contribute to the implementation of other EU legislative frameworks, such as the Directive on combating violence against women and domestic violence, that criminalises various cyberviolence offences, including deepfakes, and the Digital Services Act, which addresses illegal content online, in</w:t>
      </w:r>
      <w:r>
        <w:rPr>
          <w:color w:val="000000"/>
        </w:rPr>
        <w:t>cluding false or manipulated information inciting hate or discrimination. It should also inform global discussions on ethical AI governance and responsible innovation.</w:t>
      </w:r>
    </w:p>
    <w:p w14:paraId="692C3186" w14:textId="77777777" w:rsidR="00D84031" w:rsidRDefault="007965BB">
      <w:r>
        <w:rPr>
          <w:color w:val="000000"/>
        </w:rPr>
        <w:t>Projects are encouraged to collaborate with the projects funded under HORIZON-CL2-2023-DEMOCRACY-01-01 Detecting, analysing and countering foreign information manipulation and interference; HORIZON-CL2-2022-DEMOCRACY-01-01: Governance, institutional and participation frameworks for a democratic and inclusive Europe; HORIZON-CL2-2022-DEMOCRACY-01-07: Politics and the impact of online social networks and new media; “HORIZON-CL2-2026-01-DEMOCRACY-08: Electoral integrity in the digital context” and “HORIZON-CL2</w:t>
      </w:r>
      <w:r>
        <w:rPr>
          <w:color w:val="000000"/>
        </w:rPr>
        <w:t>-2026-01-DEMOCRACY-09: Lifelong learning of citizenship education and citizen participation”.</w:t>
      </w:r>
    </w:p>
    <w:p w14:paraId="5F74BDFD" w14:textId="77777777" w:rsidR="00D84031" w:rsidRDefault="007965BB">
      <w:r>
        <w:rPr>
          <w:color w:val="000000"/>
        </w:rPr>
        <w:t>The projects selected for funding are encouraged to collaborate with the JRC to seek synergies with its work on innovations in public governance</w:t>
      </w:r>
      <w:r>
        <w:rPr>
          <w:vertAlign w:val="superscript"/>
        </w:rPr>
        <w:footnoteReference w:id="52"/>
      </w:r>
      <w:r>
        <w:rPr>
          <w:color w:val="000000"/>
        </w:rPr>
        <w:t>.</w:t>
      </w:r>
    </w:p>
    <w:p w14:paraId="1CA98AB9" w14:textId="77777777" w:rsidR="00D84031" w:rsidRDefault="007965BB">
      <w:pPr>
        <w:pStyle w:val="HeadingThree"/>
      </w:pPr>
      <w:r>
        <w:lastRenderedPageBreak/>
        <w:t>HORIZON-CL2-2027-01-DEMOCRACY-05: Development aid and democratic governance</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0BEFAC76" w14:textId="77777777" w:rsidTr="00C62CF4">
        <w:tc>
          <w:tcPr>
            <w:tcW w:w="0" w:type="auto"/>
            <w:gridSpan w:val="2"/>
          </w:tcPr>
          <w:p w14:paraId="2F3B9FB1" w14:textId="77777777" w:rsidR="00D84031" w:rsidRDefault="007965BB">
            <w:pPr>
              <w:pStyle w:val="CellTextValue"/>
            </w:pPr>
            <w:r>
              <w:rPr>
                <w:b/>
              </w:rPr>
              <w:t>Call: Culture, Creativity and Inclusive Society - 2027</w:t>
            </w:r>
          </w:p>
        </w:tc>
      </w:tr>
      <w:tr w:rsidR="00C62CF4" w14:paraId="70E6E4C7" w14:textId="77777777" w:rsidTr="00C62CF4">
        <w:tc>
          <w:tcPr>
            <w:tcW w:w="0" w:type="auto"/>
            <w:gridSpan w:val="2"/>
          </w:tcPr>
          <w:p w14:paraId="04B7DB0D" w14:textId="77777777" w:rsidR="00D84031" w:rsidRDefault="007965BB">
            <w:pPr>
              <w:pStyle w:val="CellTextValue"/>
            </w:pPr>
            <w:r>
              <w:rPr>
                <w:b/>
              </w:rPr>
              <w:t>Specific conditions</w:t>
            </w:r>
          </w:p>
        </w:tc>
      </w:tr>
      <w:tr w:rsidR="00D84031" w14:paraId="4919EC97" w14:textId="77777777">
        <w:tc>
          <w:tcPr>
            <w:tcW w:w="0" w:type="auto"/>
          </w:tcPr>
          <w:p w14:paraId="64E38A65" w14:textId="77777777" w:rsidR="00D84031" w:rsidRDefault="007965BB">
            <w:pPr>
              <w:pStyle w:val="CellTextValue"/>
              <w:jc w:val="left"/>
            </w:pPr>
            <w:r>
              <w:rPr>
                <w:i/>
              </w:rPr>
              <w:t>Expected EU contribution per project</w:t>
            </w:r>
          </w:p>
        </w:tc>
        <w:tc>
          <w:tcPr>
            <w:tcW w:w="0" w:type="auto"/>
          </w:tcPr>
          <w:p w14:paraId="0841384F" w14:textId="77777777" w:rsidR="00D84031" w:rsidRDefault="007965BB">
            <w:pPr>
              <w:pStyle w:val="CellTextValue"/>
            </w:pPr>
            <w:r>
              <w:t xml:space="preserve">The Commission estimates that an EU contribution of between EUR 3.50 and 4.00 million would allow these outcomes to be </w:t>
            </w:r>
            <w:r>
              <w:t>addressed appropriately. Nonetheless, this does not preclude submission and selection of a proposal requesting different amounts.</w:t>
            </w:r>
          </w:p>
        </w:tc>
      </w:tr>
      <w:tr w:rsidR="00D84031" w14:paraId="4DE85AAA" w14:textId="77777777">
        <w:tc>
          <w:tcPr>
            <w:tcW w:w="0" w:type="auto"/>
          </w:tcPr>
          <w:p w14:paraId="0296380C" w14:textId="77777777" w:rsidR="00D84031" w:rsidRDefault="007965BB">
            <w:pPr>
              <w:pStyle w:val="CellTextValue"/>
              <w:jc w:val="left"/>
            </w:pPr>
            <w:r>
              <w:rPr>
                <w:i/>
              </w:rPr>
              <w:t>Indicative budget</w:t>
            </w:r>
          </w:p>
        </w:tc>
        <w:tc>
          <w:tcPr>
            <w:tcW w:w="0" w:type="auto"/>
          </w:tcPr>
          <w:p w14:paraId="57F0DA02" w14:textId="77777777" w:rsidR="00D84031" w:rsidRDefault="007965BB">
            <w:pPr>
              <w:pStyle w:val="CellTextValue"/>
            </w:pPr>
            <w:r>
              <w:t>The total indicative budget for the topic is EUR 12.00 million.</w:t>
            </w:r>
          </w:p>
        </w:tc>
      </w:tr>
      <w:tr w:rsidR="00D84031" w14:paraId="4735008B" w14:textId="77777777">
        <w:tc>
          <w:tcPr>
            <w:tcW w:w="0" w:type="auto"/>
          </w:tcPr>
          <w:p w14:paraId="65EB17BA" w14:textId="77777777" w:rsidR="00D84031" w:rsidRDefault="007965BB">
            <w:pPr>
              <w:pStyle w:val="CellTextValue"/>
              <w:jc w:val="left"/>
            </w:pPr>
            <w:r>
              <w:rPr>
                <w:i/>
              </w:rPr>
              <w:t>Type of Action</w:t>
            </w:r>
          </w:p>
        </w:tc>
        <w:tc>
          <w:tcPr>
            <w:tcW w:w="0" w:type="auto"/>
          </w:tcPr>
          <w:p w14:paraId="06FA30F6" w14:textId="77777777" w:rsidR="00D84031" w:rsidRDefault="007965BB">
            <w:pPr>
              <w:pStyle w:val="CellTextValue"/>
            </w:pPr>
            <w:r>
              <w:rPr>
                <w:color w:val="000000"/>
              </w:rPr>
              <w:t xml:space="preserve">Research and </w:t>
            </w:r>
            <w:r>
              <w:rPr>
                <w:color w:val="000000"/>
              </w:rPr>
              <w:t>Innovation Actions</w:t>
            </w:r>
          </w:p>
        </w:tc>
      </w:tr>
      <w:tr w:rsidR="00D84031" w14:paraId="426D8991" w14:textId="77777777">
        <w:tc>
          <w:tcPr>
            <w:tcW w:w="0" w:type="auto"/>
          </w:tcPr>
          <w:p w14:paraId="5762B0A8" w14:textId="77777777" w:rsidR="00D84031" w:rsidRDefault="007965BB">
            <w:pPr>
              <w:pStyle w:val="CellTextValue"/>
              <w:jc w:val="left"/>
            </w:pPr>
            <w:r>
              <w:rPr>
                <w:i/>
              </w:rPr>
              <w:t>Legal and financial set-up of the Grant Agreements</w:t>
            </w:r>
          </w:p>
        </w:tc>
        <w:tc>
          <w:tcPr>
            <w:tcW w:w="0" w:type="auto"/>
          </w:tcPr>
          <w:p w14:paraId="002006E9" w14:textId="77777777" w:rsidR="00D84031" w:rsidRDefault="007965BB">
            <w:pPr>
              <w:pStyle w:val="CellTextValue"/>
            </w:pPr>
            <w:r>
              <w:rPr>
                <w:color w:val="000000"/>
              </w:rPr>
              <w:t>The rules are described in General Annex G. The following exceptions apply:</w:t>
            </w:r>
          </w:p>
          <w:p w14:paraId="67B5BF01"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53"/>
            </w:r>
            <w:r>
              <w:rPr>
                <w:color w:val="000000"/>
              </w:rPr>
              <w:t>.</w:t>
            </w:r>
          </w:p>
        </w:tc>
      </w:tr>
    </w:tbl>
    <w:p w14:paraId="7F435FBB" w14:textId="77777777" w:rsidR="00D84031" w:rsidRDefault="00D84031">
      <w:pPr>
        <w:spacing w:after="0" w:line="150" w:lineRule="auto"/>
      </w:pPr>
    </w:p>
    <w:p w14:paraId="56BC83E4" w14:textId="77777777" w:rsidR="00D84031" w:rsidRDefault="007965BB">
      <w:r>
        <w:rPr>
          <w:u w:val="single"/>
        </w:rPr>
        <w:t>Expected Outcome</w:t>
      </w:r>
      <w:r>
        <w:t xml:space="preserve">: </w:t>
      </w:r>
      <w:r>
        <w:rPr>
          <w:color w:val="000000"/>
        </w:rPr>
        <w:t>Projects should contribute to all of the following expected outcomes:</w:t>
      </w:r>
    </w:p>
    <w:p w14:paraId="191C9E84" w14:textId="77777777" w:rsidR="00D84031" w:rsidRDefault="007965BB" w:rsidP="00C62CF4">
      <w:pPr>
        <w:pStyle w:val="ListParagraph"/>
        <w:numPr>
          <w:ilvl w:val="0"/>
          <w:numId w:val="26"/>
        </w:numPr>
      </w:pPr>
      <w:r>
        <w:rPr>
          <w:color w:val="000000"/>
        </w:rPr>
        <w:t>EU and national policymakers and development aid agencies are better equipped to deal with the complexities and challenges of the relations between the EU and low- and middle-income countries and increase their intelligence to develop EU strategies and policies that promote a more inclusive and equitable multilateralism.</w:t>
      </w:r>
    </w:p>
    <w:p w14:paraId="79F9FBE0" w14:textId="77777777" w:rsidR="00D84031" w:rsidRDefault="007965BB" w:rsidP="00C62CF4">
      <w:pPr>
        <w:pStyle w:val="ListParagraph"/>
        <w:numPr>
          <w:ilvl w:val="0"/>
          <w:numId w:val="26"/>
        </w:numPr>
      </w:pPr>
      <w:r>
        <w:rPr>
          <w:color w:val="000000"/>
        </w:rPr>
        <w:t>Organisations for development cooperation have enhanced capacity and solutions to support democratic institutions and address key global challenges, such as climate action, democracy and rule of law, human rights and gender equality.</w:t>
      </w:r>
    </w:p>
    <w:p w14:paraId="0640BCFC" w14:textId="77777777" w:rsidR="00D84031" w:rsidRDefault="007965BB" w:rsidP="00C62CF4">
      <w:pPr>
        <w:pStyle w:val="ListParagraph"/>
        <w:numPr>
          <w:ilvl w:val="0"/>
          <w:numId w:val="26"/>
        </w:numPr>
      </w:pPr>
      <w:r>
        <w:rPr>
          <w:color w:val="000000"/>
        </w:rPr>
        <w:t xml:space="preserve">Strengthened multilateral partnerships between the EU as a donor of development aid and low- and middle-income countries in the field of development cooperation. </w:t>
      </w:r>
    </w:p>
    <w:p w14:paraId="7C9EC5B7" w14:textId="77777777" w:rsidR="00D84031" w:rsidRDefault="007965BB">
      <w:r>
        <w:rPr>
          <w:u w:val="single"/>
        </w:rPr>
        <w:t>Scope</w:t>
      </w:r>
      <w:r>
        <w:t xml:space="preserve">: </w:t>
      </w:r>
      <w:r>
        <w:rPr>
          <w:color w:val="000000"/>
        </w:rPr>
        <w:t xml:space="preserve">The European Union's development aid efforts face significant challenges in promoting democracy and stability in third countries, despite substantial investments in development assistance. Many countries continue to face challenges related to democratic governance, and the relationship between aid and its impact on inequality reduction, poverty </w:t>
      </w:r>
      <w:r>
        <w:rPr>
          <w:color w:val="000000"/>
        </w:rPr>
        <w:lastRenderedPageBreak/>
        <w:t>alleviation, sustainable peace and security, as well as the strengthening of democratic institutions and processes, remains unclear. The resurgence of authoritaria</w:t>
      </w:r>
      <w:r>
        <w:rPr>
          <w:color w:val="000000"/>
        </w:rPr>
        <w:t>nism and the erosion of democratic values globally pose considerable challenges to EU foreign policy, underscoring the need for more effective diplomatic, security and development cooperation frameworks and strategies.</w:t>
      </w:r>
    </w:p>
    <w:p w14:paraId="72140A31" w14:textId="77777777" w:rsidR="00D84031" w:rsidRDefault="007965BB">
      <w:r>
        <w:rPr>
          <w:color w:val="000000"/>
        </w:rPr>
        <w:t>There is a pressing need for research to elucidate the complex relationships between development aid, democratic governance, equality, security, and global challenges. This includes examining the effects of development aid on democratic institutions and processes, identifying gaps in funding for democratic governance, and exploring innovative approaches to supporting democratic governance and reducing inequality. In this context, the role of other non-EU aid donors, including public, private, and philanthro</w:t>
      </w:r>
      <w:r>
        <w:rPr>
          <w:color w:val="000000"/>
        </w:rPr>
        <w:t>pic actors, must be understood. This includes examining the influence of the EU's economic and geopolitical competitors, to see why their support may be more attractive to developing countries, and how they are filling vacuums left by cuts from traditional donors, creating new socio-economic dependencies and power relations.</w:t>
      </w:r>
    </w:p>
    <w:p w14:paraId="05D7FECD" w14:textId="77777777" w:rsidR="00D84031" w:rsidRDefault="007965BB">
      <w:r>
        <w:rPr>
          <w:color w:val="000000"/>
        </w:rPr>
        <w:t>The scope of this research topic is broad, encompassing the interplay between development aid, security, and democratic governance, with a focus on reducing socio-economic and gender inequalities, fostering democratic resilience, and promoting inclusive governance. By investigating these dynamics, researchers can uncover new insights and strategies to align development assistance with democratic strengthening, ultimately contributing to more effective and sustainable development outcomes.</w:t>
      </w:r>
    </w:p>
    <w:p w14:paraId="4A56C1D5" w14:textId="77777777" w:rsidR="00D84031" w:rsidRDefault="007965BB">
      <w:r>
        <w:rPr>
          <w:color w:val="000000"/>
        </w:rPr>
        <w:t>Key areas of investigation include the impact of development aid on democratic institutions, the reduction of socio-economic and gender inequalities, and the identification of funding gaps for democratic governance initiatives, as well as the consequences of declining democratic trends on the effectiveness of global development strategies and the achievement of sustainable development goals.</w:t>
      </w:r>
    </w:p>
    <w:p w14:paraId="7D56ED87" w14:textId="77777777" w:rsidR="00D84031" w:rsidRDefault="007965BB">
      <w:r>
        <w:rPr>
          <w:color w:val="000000"/>
        </w:rPr>
        <w:t>Proposals should also seek to identify new opportunities to enhance the EU´s soft power and geopolitical influence across the Humanitarian-Development-Peace nexus, including through the development of dedicated diplomacies (e.g., climate diplomacy, water diplomacy, science diplomacy, etc.). The actions should strive to include development aid civil society organisations in the activities.</w:t>
      </w:r>
    </w:p>
    <w:p w14:paraId="0AE35C7E" w14:textId="77777777" w:rsidR="00D84031" w:rsidRDefault="007965BB">
      <w:r>
        <w:rPr>
          <w:color w:val="000000"/>
        </w:rPr>
        <w:t xml:space="preserve">Proposals should use a gender-sensitive and intersectional approach in their research. </w:t>
      </w:r>
    </w:p>
    <w:p w14:paraId="4F5FF868" w14:textId="77777777" w:rsidR="00D84031" w:rsidRDefault="007965BB">
      <w:r>
        <w:rPr>
          <w:color w:val="000000"/>
        </w:rPr>
        <w:t xml:space="preserve">Proposals are encouraged to identify other relevant EU-funded projects related to EU </w:t>
      </w:r>
      <w:r>
        <w:rPr>
          <w:color w:val="000000"/>
        </w:rPr>
        <w:t>democracy support, civil society engagement, and international cooperation on sustainable peace and democratic governance, and to explore potential collaboration opportunities with them.</w:t>
      </w:r>
    </w:p>
    <w:p w14:paraId="2FC9952F" w14:textId="77777777" w:rsidR="00D84031" w:rsidRDefault="007965BB">
      <w:r>
        <w:rPr>
          <w:color w:val="000000"/>
        </w:rPr>
        <w:t>Proposals may also incorporate participatory research approaches to enhance inclusivity and stakeholder engagement.</w:t>
      </w:r>
    </w:p>
    <w:p w14:paraId="636CF906" w14:textId="77777777" w:rsidR="00D84031" w:rsidRDefault="007965BB">
      <w:r>
        <w:rPr>
          <w:color w:val="000000"/>
        </w:rPr>
        <w:lastRenderedPageBreak/>
        <w:t>The geographical scope of this research includes the EU Neighbourhood</w:t>
      </w:r>
      <w:r>
        <w:rPr>
          <w:vertAlign w:val="superscript"/>
        </w:rPr>
        <w:footnoteReference w:id="54"/>
      </w:r>
      <w:r>
        <w:rPr>
          <w:color w:val="000000"/>
        </w:rPr>
        <w:t xml:space="preserve"> and low- and lower middle-income countries</w:t>
      </w:r>
      <w:r>
        <w:rPr>
          <w:vertAlign w:val="superscript"/>
        </w:rPr>
        <w:footnoteReference w:id="55"/>
      </w:r>
      <w:r>
        <w:rPr>
          <w:color w:val="000000"/>
        </w:rPr>
        <w:t>, with a focus on the relationship of these with the EU. Therefore, international cooperation is strongly encouraged.</w:t>
      </w:r>
    </w:p>
    <w:p w14:paraId="669A49EC" w14:textId="77777777" w:rsidR="00D84031" w:rsidRDefault="007965BB">
      <w:pPr>
        <w:pStyle w:val="HeadingThree"/>
      </w:pPr>
      <w:r>
        <w:t>HORIZON-CL2-2027-01-DEMOCRACY-06: Identifying user-focused solutions to support news media freedom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C62CF4" w14:paraId="57E69545" w14:textId="77777777" w:rsidTr="00C62CF4">
        <w:tc>
          <w:tcPr>
            <w:tcW w:w="0" w:type="auto"/>
            <w:gridSpan w:val="2"/>
          </w:tcPr>
          <w:p w14:paraId="4812CE68" w14:textId="77777777" w:rsidR="00D84031" w:rsidRDefault="007965BB">
            <w:pPr>
              <w:pStyle w:val="CellTextValue"/>
            </w:pPr>
            <w:r>
              <w:rPr>
                <w:b/>
              </w:rPr>
              <w:t>Call: Culture, Creativity and Inclusive Society - 2027</w:t>
            </w:r>
          </w:p>
        </w:tc>
      </w:tr>
      <w:tr w:rsidR="00C62CF4" w14:paraId="272CB0D4" w14:textId="77777777" w:rsidTr="00C62CF4">
        <w:tc>
          <w:tcPr>
            <w:tcW w:w="0" w:type="auto"/>
            <w:gridSpan w:val="2"/>
          </w:tcPr>
          <w:p w14:paraId="43F952BB" w14:textId="77777777" w:rsidR="00D84031" w:rsidRDefault="007965BB">
            <w:pPr>
              <w:pStyle w:val="CellTextValue"/>
            </w:pPr>
            <w:r>
              <w:rPr>
                <w:b/>
              </w:rPr>
              <w:t>Specific conditions</w:t>
            </w:r>
          </w:p>
        </w:tc>
      </w:tr>
      <w:tr w:rsidR="00D84031" w14:paraId="136808E9" w14:textId="77777777">
        <w:tc>
          <w:tcPr>
            <w:tcW w:w="0" w:type="auto"/>
          </w:tcPr>
          <w:p w14:paraId="7888875C" w14:textId="77777777" w:rsidR="00D84031" w:rsidRDefault="007965BB">
            <w:pPr>
              <w:pStyle w:val="CellTextValue"/>
              <w:jc w:val="left"/>
            </w:pPr>
            <w:r>
              <w:rPr>
                <w:i/>
              </w:rPr>
              <w:t>Expected EU contribution per project</w:t>
            </w:r>
          </w:p>
        </w:tc>
        <w:tc>
          <w:tcPr>
            <w:tcW w:w="0" w:type="auto"/>
          </w:tcPr>
          <w:p w14:paraId="28BDC62A" w14:textId="77777777" w:rsidR="00D84031" w:rsidRDefault="007965BB">
            <w:pPr>
              <w:pStyle w:val="CellTextValue"/>
            </w:pPr>
            <w:r>
              <w:t>The Commission estimates that an EU contribution of between EUR 3.50 and 4.00 million would allow these outcomes to be addressed appropriately. Nonetheless, this does not preclude submission and selection of a proposal requesting different amounts.</w:t>
            </w:r>
          </w:p>
        </w:tc>
      </w:tr>
      <w:tr w:rsidR="00D84031" w14:paraId="2F318783" w14:textId="77777777">
        <w:tc>
          <w:tcPr>
            <w:tcW w:w="0" w:type="auto"/>
          </w:tcPr>
          <w:p w14:paraId="192A8958" w14:textId="77777777" w:rsidR="00D84031" w:rsidRDefault="007965BB">
            <w:pPr>
              <w:pStyle w:val="CellTextValue"/>
              <w:jc w:val="left"/>
            </w:pPr>
            <w:r>
              <w:rPr>
                <w:i/>
              </w:rPr>
              <w:t xml:space="preserve">Indicative </w:t>
            </w:r>
            <w:r>
              <w:rPr>
                <w:i/>
              </w:rPr>
              <w:t>budget</w:t>
            </w:r>
          </w:p>
        </w:tc>
        <w:tc>
          <w:tcPr>
            <w:tcW w:w="0" w:type="auto"/>
          </w:tcPr>
          <w:p w14:paraId="0FE3BF60" w14:textId="77777777" w:rsidR="00D84031" w:rsidRDefault="007965BB">
            <w:pPr>
              <w:pStyle w:val="CellTextValue"/>
            </w:pPr>
            <w:r>
              <w:t>The total indicative budget for the topic is EUR 12.00 million.</w:t>
            </w:r>
          </w:p>
        </w:tc>
      </w:tr>
      <w:tr w:rsidR="00D84031" w14:paraId="157820AF" w14:textId="77777777">
        <w:tc>
          <w:tcPr>
            <w:tcW w:w="0" w:type="auto"/>
          </w:tcPr>
          <w:p w14:paraId="1A288AED" w14:textId="77777777" w:rsidR="00D84031" w:rsidRDefault="007965BB">
            <w:pPr>
              <w:pStyle w:val="CellTextValue"/>
              <w:jc w:val="left"/>
            </w:pPr>
            <w:r>
              <w:rPr>
                <w:i/>
              </w:rPr>
              <w:t>Type of Action</w:t>
            </w:r>
          </w:p>
        </w:tc>
        <w:tc>
          <w:tcPr>
            <w:tcW w:w="0" w:type="auto"/>
          </w:tcPr>
          <w:p w14:paraId="206673E0" w14:textId="77777777" w:rsidR="00D84031" w:rsidRDefault="007965BB">
            <w:pPr>
              <w:pStyle w:val="CellTextValue"/>
            </w:pPr>
            <w:r>
              <w:rPr>
                <w:color w:val="000000"/>
              </w:rPr>
              <w:t>Research and Innovation Actions</w:t>
            </w:r>
          </w:p>
        </w:tc>
      </w:tr>
      <w:tr w:rsidR="00D84031" w14:paraId="7F049240" w14:textId="77777777">
        <w:tc>
          <w:tcPr>
            <w:tcW w:w="0" w:type="auto"/>
          </w:tcPr>
          <w:p w14:paraId="3C8A97EA" w14:textId="77777777" w:rsidR="00D84031" w:rsidRDefault="007965BB">
            <w:pPr>
              <w:pStyle w:val="CellTextValue"/>
              <w:jc w:val="left"/>
            </w:pPr>
            <w:r>
              <w:rPr>
                <w:i/>
              </w:rPr>
              <w:t>Eligibility conditions</w:t>
            </w:r>
          </w:p>
        </w:tc>
        <w:tc>
          <w:tcPr>
            <w:tcW w:w="0" w:type="auto"/>
          </w:tcPr>
          <w:p w14:paraId="2BF2CAA5" w14:textId="77777777" w:rsidR="00D84031" w:rsidRDefault="007965BB">
            <w:pPr>
              <w:pStyle w:val="CellTextValue"/>
            </w:pPr>
            <w:r>
              <w:rPr>
                <w:color w:val="000000"/>
              </w:rPr>
              <w:t>The conditions are described in General Annex B. The following exceptions apply:</w:t>
            </w:r>
          </w:p>
          <w:p w14:paraId="1C54DF3B" w14:textId="77777777" w:rsidR="00D84031" w:rsidRDefault="007965BB">
            <w:pPr>
              <w:pStyle w:val="CellTextValue"/>
            </w:pPr>
            <w:r>
              <w:rPr>
                <w:color w:val="000000"/>
              </w:rPr>
              <w:t>Subject to restrictions for the protection of European communication networks.</w:t>
            </w:r>
          </w:p>
        </w:tc>
      </w:tr>
      <w:tr w:rsidR="00D84031" w14:paraId="32389432" w14:textId="77777777">
        <w:tc>
          <w:tcPr>
            <w:tcW w:w="0" w:type="auto"/>
          </w:tcPr>
          <w:p w14:paraId="6D6BADD0" w14:textId="77777777" w:rsidR="00D84031" w:rsidRDefault="007965BB">
            <w:pPr>
              <w:pStyle w:val="CellTextValue"/>
              <w:jc w:val="left"/>
            </w:pPr>
            <w:r>
              <w:rPr>
                <w:i/>
              </w:rPr>
              <w:t>Legal and financial set-up of the Grant Agreements</w:t>
            </w:r>
          </w:p>
        </w:tc>
        <w:tc>
          <w:tcPr>
            <w:tcW w:w="0" w:type="auto"/>
          </w:tcPr>
          <w:p w14:paraId="56F7FB79" w14:textId="77777777" w:rsidR="00D84031" w:rsidRDefault="007965BB">
            <w:pPr>
              <w:pStyle w:val="CellTextValue"/>
            </w:pPr>
            <w:r>
              <w:rPr>
                <w:color w:val="000000"/>
              </w:rPr>
              <w:t>The rules are described in General Annex G. The following exceptions apply:</w:t>
            </w:r>
          </w:p>
          <w:p w14:paraId="027734FE"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56"/>
            </w:r>
            <w:r>
              <w:rPr>
                <w:color w:val="000000"/>
              </w:rPr>
              <w:t>.</w:t>
            </w:r>
          </w:p>
        </w:tc>
      </w:tr>
    </w:tbl>
    <w:p w14:paraId="3F9A042E" w14:textId="77777777" w:rsidR="00D84031" w:rsidRDefault="00D84031">
      <w:pPr>
        <w:spacing w:after="0" w:line="150" w:lineRule="auto"/>
      </w:pPr>
    </w:p>
    <w:p w14:paraId="129F242B" w14:textId="77777777" w:rsidR="00D84031" w:rsidRDefault="007965BB">
      <w:r>
        <w:rPr>
          <w:u w:val="single"/>
        </w:rPr>
        <w:t>Expected Outcome</w:t>
      </w:r>
      <w:r>
        <w:t xml:space="preserve">: </w:t>
      </w:r>
      <w:r>
        <w:rPr>
          <w:color w:val="000000"/>
        </w:rPr>
        <w:t>Projects should contribute to all of the following expected outcomes:</w:t>
      </w:r>
    </w:p>
    <w:p w14:paraId="7E3B35B9" w14:textId="77777777" w:rsidR="00D84031" w:rsidRDefault="007965BB" w:rsidP="00C62CF4">
      <w:pPr>
        <w:pStyle w:val="ListParagraph"/>
        <w:numPr>
          <w:ilvl w:val="0"/>
          <w:numId w:val="27"/>
        </w:numPr>
      </w:pPr>
      <w:r>
        <w:rPr>
          <w:color w:val="000000"/>
        </w:rPr>
        <w:t xml:space="preserve">Key data gaps affecting the news media sectors at European level are addressed and all relevant stakeholders dispose of an updated and </w:t>
      </w:r>
      <w:r>
        <w:rPr>
          <w:color w:val="000000"/>
        </w:rPr>
        <w:t>comprehensive knowledge base.</w:t>
      </w:r>
    </w:p>
    <w:p w14:paraId="4088EB93" w14:textId="77777777" w:rsidR="00D84031" w:rsidRDefault="007965BB" w:rsidP="00C62CF4">
      <w:pPr>
        <w:pStyle w:val="ListParagraph"/>
        <w:numPr>
          <w:ilvl w:val="0"/>
          <w:numId w:val="27"/>
        </w:numPr>
      </w:pPr>
      <w:r>
        <w:rPr>
          <w:color w:val="000000"/>
        </w:rPr>
        <w:t>Users’ consumption patterns of news are identified (online and offline).</w:t>
      </w:r>
    </w:p>
    <w:p w14:paraId="5FC2397F" w14:textId="77777777" w:rsidR="00D84031" w:rsidRDefault="007965BB" w:rsidP="00C62CF4">
      <w:pPr>
        <w:pStyle w:val="ListParagraph"/>
        <w:numPr>
          <w:ilvl w:val="0"/>
          <w:numId w:val="27"/>
        </w:numPr>
      </w:pPr>
      <w:r>
        <w:rPr>
          <w:color w:val="000000"/>
        </w:rPr>
        <w:t xml:space="preserve">News media organisations and journalists are equipped with better knowledge and tools to adapt to digital transformation, to reach new audiences and to ensure a more resilient public sphere, especially for news sectors that are of particular relevance for democracy.  </w:t>
      </w:r>
    </w:p>
    <w:p w14:paraId="3924A7D6" w14:textId="77777777" w:rsidR="00D84031" w:rsidRDefault="007965BB">
      <w:r>
        <w:rPr>
          <w:u w:val="single"/>
        </w:rPr>
        <w:t>Scope</w:t>
      </w:r>
      <w:r>
        <w:t xml:space="preserve">: </w:t>
      </w:r>
      <w:r>
        <w:rPr>
          <w:color w:val="000000"/>
        </w:rPr>
        <w:t>Free and independent news media are key tenets of our democracies as they keep citizens informed and facilitate civic engagement across all democratic processes. At present, journalistic newsrooms are under severe economic pressure and they face increasing forms of political influence and threats against media pluralism. Social media forces them to compete for citizens’ attention with other forms of infotainment, which sometimes entail unverified opinions and low-quality or malicious sources. This is part</w:t>
      </w:r>
      <w:r>
        <w:rPr>
          <w:color w:val="000000"/>
        </w:rPr>
        <w:t>icularly affecting forms of journalism relying on original content, which takes more time and resources to produce (e.g. local media, investigative journalism, public interest news, journalistic magazines, etc.). There is evidence of market failures affecting these sectors, with phenomena such as emerging news deserts, limited coverage of certain regions and/or societal groups and newsrooms closing. As a result, certain societal groups are underserved in the media landscape, so the proposed research will be</w:t>
      </w:r>
      <w:r>
        <w:rPr>
          <w:color w:val="000000"/>
        </w:rPr>
        <w:t>nefit from adopting an intersectional approach.</w:t>
      </w:r>
    </w:p>
    <w:p w14:paraId="4E478965" w14:textId="77777777" w:rsidR="00D84031" w:rsidRDefault="007965BB">
      <w:r>
        <w:rPr>
          <w:color w:val="000000"/>
        </w:rPr>
        <w:t>There are still important quantitative and qualitative data gaps at European level that can help the news media sectors address these concerns, including accurate diagnoses of the challenges and opportunities for the news sectors. The Commission’s 2023 European Media Industry Outlook</w:t>
      </w:r>
      <w:r>
        <w:rPr>
          <w:vertAlign w:val="superscript"/>
        </w:rPr>
        <w:footnoteReference w:id="57"/>
      </w:r>
      <w:r>
        <w:rPr>
          <w:color w:val="000000"/>
        </w:rPr>
        <w:t xml:space="preserve"> signalled that “the future competitiveness of this sector will depend on its capacity to invest and innovate, as well as to manage and monetise content and data”. Applicants are invited to contribute to enhancing innovation across the news media sectors, in particular by addressing data gaps, researching inspirational examples of scalable models and testing industrial models that can advance financial independence as well as editorial independence. This should include areas and aspects such as:</w:t>
      </w:r>
    </w:p>
    <w:p w14:paraId="296EBA90" w14:textId="77777777" w:rsidR="00D84031" w:rsidRDefault="007965BB">
      <w:r>
        <w:rPr>
          <w:color w:val="000000"/>
        </w:rPr>
        <w:t>a) providing comparable European consumer data, market data and models to analyse audience behaviour (including audience measurement tools) across societal groups and across Europe, so as to help news media improve their relevance, editorial quality, distribution channels and business models (including emerging formats, mediums, and technologies such as AI and XR);</w:t>
      </w:r>
    </w:p>
    <w:p w14:paraId="17F7FC1C" w14:textId="77777777" w:rsidR="00D84031" w:rsidRDefault="007965BB">
      <w:r>
        <w:rPr>
          <w:color w:val="000000"/>
        </w:rPr>
        <w:t>b) identification of market failures in news sectors of specific relevance to democracy, such as local media and investigative journalism, mapping of priority regions and/or themes, identification and analysis of business models that can address them;</w:t>
      </w:r>
    </w:p>
    <w:p w14:paraId="1F8F70D3" w14:textId="77777777" w:rsidR="00D84031" w:rsidRDefault="007965BB">
      <w:r>
        <w:rPr>
          <w:color w:val="000000"/>
        </w:rPr>
        <w:lastRenderedPageBreak/>
        <w:t>c) development, prototyping and testing of small-scale innovative user-centric business models that foster the involvement of citizens in high quality information production, monetisation, distribution and consumption (including community-based and local solutions, either physical or online);</w:t>
      </w:r>
    </w:p>
    <w:p w14:paraId="5CE82066" w14:textId="77777777" w:rsidR="00D84031" w:rsidRDefault="007965BB">
      <w:r>
        <w:rPr>
          <w:color w:val="000000"/>
        </w:rPr>
        <w:t>d) mapping and development of audience measurement systems, concrete suggestions to increase interoperability of tools and systems around common standards, and proposals for metadata taxonomies, to federate the news sectors and improve their negotiation power vis-à-vis tech and advertising companies.</w:t>
      </w:r>
    </w:p>
    <w:p w14:paraId="502FC969" w14:textId="77777777" w:rsidR="00D84031" w:rsidRDefault="007965BB">
      <w:r>
        <w:rPr>
          <w:color w:val="000000"/>
        </w:rPr>
        <w:t>e) sharing of conclusions and concrete, hands-on action plans and practices for the industry and policy makers, through regular consultation, interactive sessions, active communication, etc.</w:t>
      </w:r>
    </w:p>
    <w:p w14:paraId="544EB19C" w14:textId="77777777" w:rsidR="00D84031" w:rsidRDefault="007965BB">
      <w:r>
        <w:rPr>
          <w:color w:val="000000"/>
        </w:rPr>
        <w:t>Consortia should:</w:t>
      </w:r>
    </w:p>
    <w:p w14:paraId="6A00A029" w14:textId="77777777" w:rsidR="00D84031" w:rsidRDefault="007965BB" w:rsidP="00C62CF4">
      <w:pPr>
        <w:pStyle w:val="ListParagraph"/>
        <w:numPr>
          <w:ilvl w:val="0"/>
          <w:numId w:val="28"/>
        </w:numPr>
      </w:pPr>
      <w:r>
        <w:rPr>
          <w:color w:val="000000"/>
        </w:rPr>
        <w:t>bring together academia, civil society organisations and multiple news sectors representatives;</w:t>
      </w:r>
    </w:p>
    <w:p w14:paraId="350D33B7" w14:textId="77777777" w:rsidR="00D84031" w:rsidRDefault="007965BB" w:rsidP="00C62CF4">
      <w:pPr>
        <w:pStyle w:val="ListParagraph"/>
        <w:numPr>
          <w:ilvl w:val="0"/>
          <w:numId w:val="28"/>
        </w:numPr>
      </w:pPr>
      <w:r>
        <w:rPr>
          <w:color w:val="000000"/>
        </w:rPr>
        <w:t>where applicable, leverage the data and services available through European Research Infrastructures federated under the European Open Science Cloud (EOSC), as well as data from relevant Data Spaces;</w:t>
      </w:r>
    </w:p>
    <w:p w14:paraId="5685BFC2" w14:textId="77777777" w:rsidR="00D84031" w:rsidRDefault="007965BB" w:rsidP="00C62CF4">
      <w:pPr>
        <w:pStyle w:val="ListParagraph"/>
        <w:numPr>
          <w:ilvl w:val="0"/>
          <w:numId w:val="28"/>
        </w:numPr>
      </w:pPr>
      <w:r>
        <w:rPr>
          <w:color w:val="000000"/>
        </w:rPr>
        <w:t xml:space="preserve">ensure that the data produced in the context of this topic is FAIR (Findable, Accessible, Interoperable and Re-usable); </w:t>
      </w:r>
    </w:p>
    <w:p w14:paraId="641A4BDE" w14:textId="77777777" w:rsidR="00D84031" w:rsidRDefault="007965BB" w:rsidP="00C62CF4">
      <w:pPr>
        <w:pStyle w:val="ListParagraph"/>
        <w:numPr>
          <w:ilvl w:val="0"/>
          <w:numId w:val="28"/>
        </w:numPr>
      </w:pPr>
      <w:r>
        <w:rPr>
          <w:color w:val="000000"/>
        </w:rPr>
        <w:t xml:space="preserve">seek collaboration whenever possible with relevant projects selected under previous EU-funded calls, such as the Horizon 2020 call topic TRANSFORMATIONS-10-2020 – “Evolving European media landscapes and Europeanisation” or the Horizon Europe one HORIZON-CL2-2022-DEMOCRACY-01-06 – “Media for democracy – democratic media”. </w:t>
      </w:r>
    </w:p>
    <w:p w14:paraId="5FDD6E0C" w14:textId="77777777" w:rsidR="00D84031" w:rsidRDefault="007965BB">
      <w:r>
        <w:rPr>
          <w:color w:val="000000"/>
        </w:rPr>
        <w:t>Clustering and cooperation among the selected projects under this topic and other relevant projects are strongly encouraged.</w:t>
      </w:r>
    </w:p>
    <w:p w14:paraId="4CD39980" w14:textId="77777777" w:rsidR="00D84031" w:rsidRDefault="007965BB">
      <w:pPr>
        <w:pStyle w:val="HeadingThree"/>
      </w:pPr>
      <w:r>
        <w:t>HORIZON-CL2-2027-01-DEMOCRACY-07: The role of private companies in democracy</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53A4D95F" w14:textId="77777777" w:rsidTr="00C62CF4">
        <w:tc>
          <w:tcPr>
            <w:tcW w:w="0" w:type="auto"/>
            <w:gridSpan w:val="2"/>
          </w:tcPr>
          <w:p w14:paraId="6CB4A6DA" w14:textId="77777777" w:rsidR="00D84031" w:rsidRDefault="007965BB">
            <w:pPr>
              <w:pStyle w:val="CellTextValue"/>
            </w:pPr>
            <w:r>
              <w:rPr>
                <w:b/>
              </w:rPr>
              <w:t>Call: Culture, Creativity and Inclusive Society - 2027</w:t>
            </w:r>
          </w:p>
        </w:tc>
      </w:tr>
      <w:tr w:rsidR="00C62CF4" w14:paraId="1A4703F2" w14:textId="77777777" w:rsidTr="00C62CF4">
        <w:tc>
          <w:tcPr>
            <w:tcW w:w="0" w:type="auto"/>
            <w:gridSpan w:val="2"/>
          </w:tcPr>
          <w:p w14:paraId="7633EFEB" w14:textId="77777777" w:rsidR="00D84031" w:rsidRDefault="007965BB">
            <w:pPr>
              <w:pStyle w:val="CellTextValue"/>
            </w:pPr>
            <w:r>
              <w:rPr>
                <w:b/>
              </w:rPr>
              <w:t>Specific conditions</w:t>
            </w:r>
          </w:p>
        </w:tc>
      </w:tr>
      <w:tr w:rsidR="00D84031" w14:paraId="011930D3" w14:textId="77777777">
        <w:tc>
          <w:tcPr>
            <w:tcW w:w="0" w:type="auto"/>
          </w:tcPr>
          <w:p w14:paraId="316F2099" w14:textId="77777777" w:rsidR="00D84031" w:rsidRDefault="007965BB">
            <w:pPr>
              <w:pStyle w:val="CellTextValue"/>
              <w:jc w:val="left"/>
            </w:pPr>
            <w:r>
              <w:rPr>
                <w:i/>
              </w:rPr>
              <w:t>Expected EU contribution per project</w:t>
            </w:r>
          </w:p>
        </w:tc>
        <w:tc>
          <w:tcPr>
            <w:tcW w:w="0" w:type="auto"/>
          </w:tcPr>
          <w:p w14:paraId="0F426494" w14:textId="77777777" w:rsidR="00D84031" w:rsidRDefault="007965BB">
            <w:pPr>
              <w:pStyle w:val="CellTextValue"/>
            </w:pPr>
            <w:r>
              <w:t xml:space="preserve">The Commission estimates that an EU contribution of between EUR 3.50 and 4.00 million would allow these outcomes to be addressed </w:t>
            </w:r>
            <w:r>
              <w:t>appropriately. Nonetheless, this does not preclude submission and selection of a proposal requesting different amounts.</w:t>
            </w:r>
          </w:p>
        </w:tc>
      </w:tr>
      <w:tr w:rsidR="00D84031" w14:paraId="14C74551" w14:textId="77777777">
        <w:tc>
          <w:tcPr>
            <w:tcW w:w="0" w:type="auto"/>
          </w:tcPr>
          <w:p w14:paraId="3E72C4D3" w14:textId="77777777" w:rsidR="00D84031" w:rsidRDefault="007965BB">
            <w:pPr>
              <w:pStyle w:val="CellTextValue"/>
              <w:jc w:val="left"/>
            </w:pPr>
            <w:r>
              <w:rPr>
                <w:i/>
              </w:rPr>
              <w:lastRenderedPageBreak/>
              <w:t>Indicative budget</w:t>
            </w:r>
          </w:p>
        </w:tc>
        <w:tc>
          <w:tcPr>
            <w:tcW w:w="0" w:type="auto"/>
          </w:tcPr>
          <w:p w14:paraId="53F5B901" w14:textId="77777777" w:rsidR="00D84031" w:rsidRDefault="007965BB">
            <w:pPr>
              <w:pStyle w:val="CellTextValue"/>
            </w:pPr>
            <w:r>
              <w:t>The total indicative budget for the topic is EUR 8.00 million.</w:t>
            </w:r>
          </w:p>
        </w:tc>
      </w:tr>
      <w:tr w:rsidR="00D84031" w14:paraId="6E954135" w14:textId="77777777">
        <w:tc>
          <w:tcPr>
            <w:tcW w:w="0" w:type="auto"/>
          </w:tcPr>
          <w:p w14:paraId="3BBAE1C2" w14:textId="77777777" w:rsidR="00D84031" w:rsidRDefault="007965BB">
            <w:pPr>
              <w:pStyle w:val="CellTextValue"/>
              <w:jc w:val="left"/>
            </w:pPr>
            <w:r>
              <w:rPr>
                <w:i/>
              </w:rPr>
              <w:t>Type of Action</w:t>
            </w:r>
          </w:p>
        </w:tc>
        <w:tc>
          <w:tcPr>
            <w:tcW w:w="0" w:type="auto"/>
          </w:tcPr>
          <w:p w14:paraId="0B73A533" w14:textId="77777777" w:rsidR="00D84031" w:rsidRDefault="007965BB">
            <w:pPr>
              <w:pStyle w:val="CellTextValue"/>
            </w:pPr>
            <w:r>
              <w:rPr>
                <w:color w:val="000000"/>
              </w:rPr>
              <w:t>Research and Innovation Actions</w:t>
            </w:r>
          </w:p>
        </w:tc>
      </w:tr>
      <w:tr w:rsidR="00D84031" w14:paraId="5C6C84CA" w14:textId="77777777">
        <w:tc>
          <w:tcPr>
            <w:tcW w:w="0" w:type="auto"/>
          </w:tcPr>
          <w:p w14:paraId="6EF38A7C" w14:textId="77777777" w:rsidR="00D84031" w:rsidRDefault="007965BB">
            <w:pPr>
              <w:pStyle w:val="CellTextValue"/>
              <w:jc w:val="left"/>
            </w:pPr>
            <w:r>
              <w:rPr>
                <w:i/>
              </w:rPr>
              <w:t>Legal and financial set-up of the Grant Agreements</w:t>
            </w:r>
          </w:p>
        </w:tc>
        <w:tc>
          <w:tcPr>
            <w:tcW w:w="0" w:type="auto"/>
          </w:tcPr>
          <w:p w14:paraId="1014972F" w14:textId="77777777" w:rsidR="00D84031" w:rsidRDefault="007965BB">
            <w:pPr>
              <w:pStyle w:val="CellTextValue"/>
            </w:pPr>
            <w:r>
              <w:rPr>
                <w:color w:val="000000"/>
              </w:rPr>
              <w:t>The rules are described in General Annex G. The following exceptions apply:</w:t>
            </w:r>
          </w:p>
          <w:p w14:paraId="00F89B5A"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58"/>
            </w:r>
            <w:r>
              <w:rPr>
                <w:color w:val="000000"/>
              </w:rPr>
              <w:t>.</w:t>
            </w:r>
          </w:p>
        </w:tc>
      </w:tr>
    </w:tbl>
    <w:p w14:paraId="4A2F22F5" w14:textId="77777777" w:rsidR="00D84031" w:rsidRDefault="00D84031">
      <w:pPr>
        <w:spacing w:after="0" w:line="150" w:lineRule="auto"/>
      </w:pPr>
    </w:p>
    <w:p w14:paraId="0D5CF3B0" w14:textId="77777777" w:rsidR="00D84031" w:rsidRDefault="007965BB">
      <w:r>
        <w:rPr>
          <w:u w:val="single"/>
        </w:rPr>
        <w:t>Expected Outcome</w:t>
      </w:r>
      <w:r>
        <w:t xml:space="preserve">: </w:t>
      </w:r>
      <w:r>
        <w:rPr>
          <w:color w:val="000000"/>
        </w:rPr>
        <w:t>Projects should contribute to all of the following expected outcomes:</w:t>
      </w:r>
    </w:p>
    <w:p w14:paraId="41FD62E1" w14:textId="77777777" w:rsidR="00D84031" w:rsidRDefault="007965BB" w:rsidP="00C62CF4">
      <w:pPr>
        <w:pStyle w:val="ListParagraph"/>
        <w:numPr>
          <w:ilvl w:val="0"/>
          <w:numId w:val="29"/>
        </w:numPr>
      </w:pPr>
      <w:r>
        <w:rPr>
          <w:color w:val="000000"/>
        </w:rPr>
        <w:t>EU and national policymakers have a better understanding of the impact of corporate power on democratic processes and outcomes, enabling them to develop strategies to mitigate any negative effects and promote a more just and inclusive society.</w:t>
      </w:r>
    </w:p>
    <w:p w14:paraId="30C73791" w14:textId="77777777" w:rsidR="00D84031" w:rsidRDefault="007965BB" w:rsidP="00C62CF4">
      <w:pPr>
        <w:pStyle w:val="ListParagraph"/>
        <w:numPr>
          <w:ilvl w:val="0"/>
          <w:numId w:val="29"/>
        </w:numPr>
      </w:pPr>
      <w:r>
        <w:rPr>
          <w:color w:val="000000"/>
        </w:rPr>
        <w:t>EU and national policymakers have access to evidence-based recommendations and develop more effective policies and regulations for promoting responsible corporate behaviour, rules on integrity and protecting democratic values.</w:t>
      </w:r>
    </w:p>
    <w:p w14:paraId="65AB89BE" w14:textId="77777777" w:rsidR="00D84031" w:rsidRDefault="007965BB" w:rsidP="00C62CF4">
      <w:pPr>
        <w:pStyle w:val="ListParagraph"/>
        <w:numPr>
          <w:ilvl w:val="0"/>
          <w:numId w:val="29"/>
        </w:numPr>
      </w:pPr>
      <w:r>
        <w:rPr>
          <w:color w:val="000000"/>
        </w:rPr>
        <w:t xml:space="preserve">Civil society organizations and citizens have a greater understanding of the complex relationships between private companies and democratic governance, enabling them to hold corporations and policymakers accountable for their actions.  </w:t>
      </w:r>
    </w:p>
    <w:p w14:paraId="00D03696" w14:textId="77777777" w:rsidR="00D84031" w:rsidRDefault="007965BB">
      <w:r>
        <w:rPr>
          <w:u w:val="single"/>
        </w:rPr>
        <w:t>Scope</w:t>
      </w:r>
      <w:r>
        <w:t xml:space="preserve">: </w:t>
      </w:r>
      <w:r>
        <w:rPr>
          <w:color w:val="000000"/>
        </w:rPr>
        <w:t>The relationship between private companies</w:t>
      </w:r>
      <w:r>
        <w:rPr>
          <w:vertAlign w:val="superscript"/>
        </w:rPr>
        <w:footnoteReference w:id="59"/>
      </w:r>
      <w:r>
        <w:rPr>
          <w:color w:val="000000"/>
        </w:rPr>
        <w:t xml:space="preserve"> and democratic governance is becoming increasingly complex and contentious. As corporate interests continue to grow in influence, this raises concerns about the potential risks and benefits of private sector involvement, particularly in policymaking on contentious topics such as climate change adaptation, environmental protection, data protection, privacy, civil rights, and the rights of minorities. Thus, there is a pressing need to investigate the impact of private sector involvement on democratic process</w:t>
      </w:r>
      <w:r>
        <w:rPr>
          <w:color w:val="000000"/>
        </w:rPr>
        <w:t xml:space="preserve">es and outcomes, as well as its long-term effects on political inequalities and shifts in power dynamics. </w:t>
      </w:r>
    </w:p>
    <w:p w14:paraId="4ECAD5EF" w14:textId="77777777" w:rsidR="00D84031" w:rsidRDefault="007965BB">
      <w:r>
        <w:rPr>
          <w:color w:val="000000"/>
        </w:rPr>
        <w:t>Large corporations and lobbying groups can both inform policymaking with valuable evidence and expertise, and potentially exert undue influence that may compromise the public interest. The implications of corporate power for democratic values, human rights, and the public good are far-reaching and require careful examination.</w:t>
      </w:r>
    </w:p>
    <w:p w14:paraId="567E0991" w14:textId="77777777" w:rsidR="00D84031" w:rsidRDefault="007965BB">
      <w:r>
        <w:rPr>
          <w:color w:val="000000"/>
        </w:rPr>
        <w:lastRenderedPageBreak/>
        <w:t xml:space="preserve">Furthermore, the role of </w:t>
      </w:r>
      <w:r>
        <w:rPr>
          <w:color w:val="000000"/>
        </w:rPr>
        <w:t>external private entities, such as foreign investors and multinational companies, can also shape democratic processes and outcomes, often in ways that are opaque and unaccountable. This influence can be especially strong when external actors openly intervene, as in the instance of tech billionaires intervening in European election processes, illustrating the complicated and often overt manner in which external forces can impact democratic institutions.</w:t>
      </w:r>
    </w:p>
    <w:p w14:paraId="3C41D984" w14:textId="77777777" w:rsidR="00D84031" w:rsidRDefault="007965BB">
      <w:r>
        <w:rPr>
          <w:color w:val="000000"/>
        </w:rPr>
        <w:t xml:space="preserve">To address these challenges, research is needed to explore the complex relationships between private companies, lobbying groups and democratic processes, to develop tools to assess democratic impact of corporate practices, and to identify strategies to promote responsible corporate behaviour and ensure that private companies serve the needs of democracy and the public good. </w:t>
      </w:r>
    </w:p>
    <w:p w14:paraId="45426EA0" w14:textId="77777777" w:rsidR="00D84031" w:rsidRDefault="007965BB">
      <w:r>
        <w:rPr>
          <w:color w:val="000000"/>
        </w:rPr>
        <w:t xml:space="preserve">Proposals should investigate the influence of large corporations, business lobbying groups, and external actors on democratic processes, exploring the implications of corporate power on </w:t>
      </w:r>
      <w:r>
        <w:rPr>
          <w:color w:val="000000"/>
        </w:rPr>
        <w:t>democratic values, equality (including age equality), human rights, and the public interest. This examination should also extend to the impact of private companies on multilateral decision-making, including at the EU level, and analyse how corporate interests shape decision-making processes at the transnational level.</w:t>
      </w:r>
    </w:p>
    <w:p w14:paraId="209AC984" w14:textId="77777777" w:rsidR="00D84031" w:rsidRDefault="007965BB">
      <w:r>
        <w:rPr>
          <w:color w:val="000000"/>
        </w:rPr>
        <w:t>Particular attention should be given to the role of corporate lobbying, public-private partnerships, the role of corruption, perceived corruption, and undue influence in undermining democratic governance and the public interest, as well as other forms of corporate engagement in shaping global governance outcomes. This includes examining the potential for corrupt practices, such as bribery, revolving doors, and other forms of undue influence, which can erode trust in institutions and perpetuate inequalities.</w:t>
      </w:r>
      <w:r>
        <w:rPr>
          <w:color w:val="000000"/>
        </w:rPr>
        <w:t xml:space="preserve"> Furthermore, it is essential to investigate direct interferences by corporations that go beyond currently legitimate ways of involvement in public sector decision-making. These interferences can take many forms, including amplifying false narratives, influencing public opinions, and steering behaviours, as we observe corporations contributing to the normalization of extremist or polarizing actors and discourses, which can have far-reaching consequences. </w:t>
      </w:r>
    </w:p>
    <w:p w14:paraId="6D319B2D" w14:textId="77777777" w:rsidR="00D84031" w:rsidRDefault="007965BB">
      <w:r>
        <w:rPr>
          <w:color w:val="000000"/>
        </w:rPr>
        <w:t xml:space="preserve">Proposals are encouraged to critically examine the structural power of capital in shaping policy agendas and public discourse, and to consider how this power contrasts with that of labour and civil society. Proposals could encourage structured and sustained dialogue among business actors, citizens, regulators, and watchdog organizations, with the aim of developing inclusive and accountable governance frameworks that reflect diverse interests and promote transparency. </w:t>
      </w:r>
    </w:p>
    <w:p w14:paraId="231AFF77" w14:textId="77777777" w:rsidR="00D84031" w:rsidRDefault="007965BB">
      <w:r>
        <w:rPr>
          <w:color w:val="000000"/>
        </w:rPr>
        <w:t>This research also aims to investigate the influence of private companies on democratic governance, such as – but not limited to – the potential risks and benefits of private sector involvement in sortition-based citizens' panels and other forms of participatory and deliberative democracy processes.</w:t>
      </w:r>
    </w:p>
    <w:p w14:paraId="5DC74448" w14:textId="77777777" w:rsidR="00D84031" w:rsidRDefault="007965BB">
      <w:r>
        <w:rPr>
          <w:color w:val="000000"/>
        </w:rPr>
        <w:lastRenderedPageBreak/>
        <w:t xml:space="preserve">Proposals should use a gender-sensitive and intersectional approach in their research to analyse how the actions of private companies in a democracy impact individuals’ rights differently based on their identities. </w:t>
      </w:r>
    </w:p>
    <w:p w14:paraId="40936602" w14:textId="77777777" w:rsidR="00D84031" w:rsidRDefault="007965BB">
      <w:r>
        <w:rPr>
          <w:color w:val="000000"/>
        </w:rPr>
        <w:t>Proposals are encouraged to identify other relevant EU-funded projects exploring the role of private companies in democracy and consider exploring potential collaboration opportunities with them</w:t>
      </w:r>
      <w:r>
        <w:rPr>
          <w:vertAlign w:val="superscript"/>
        </w:rPr>
        <w:footnoteReference w:id="60"/>
      </w:r>
      <w:r>
        <w:rPr>
          <w:color w:val="000000"/>
        </w:rPr>
        <w:t>.</w:t>
      </w:r>
    </w:p>
    <w:p w14:paraId="71BD2B1F" w14:textId="77777777" w:rsidR="00D84031" w:rsidRDefault="007965BB">
      <w:pPr>
        <w:pStyle w:val="HeadingThree"/>
      </w:pPr>
      <w:r>
        <w:t xml:space="preserve">HORIZON-CL2-2027-01-DEMOCRACY-08: Global Human Rights and EU values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5FE410E2" w14:textId="77777777" w:rsidTr="00C62CF4">
        <w:tc>
          <w:tcPr>
            <w:tcW w:w="0" w:type="auto"/>
            <w:gridSpan w:val="2"/>
          </w:tcPr>
          <w:p w14:paraId="012C40A6" w14:textId="77777777" w:rsidR="00D84031" w:rsidRDefault="007965BB">
            <w:pPr>
              <w:pStyle w:val="CellTextValue"/>
            </w:pPr>
            <w:r>
              <w:rPr>
                <w:b/>
              </w:rPr>
              <w:t>Call: Culture, Creativity and Inclusive Society - 2027</w:t>
            </w:r>
          </w:p>
        </w:tc>
      </w:tr>
      <w:tr w:rsidR="00C62CF4" w14:paraId="685B5518" w14:textId="77777777" w:rsidTr="00C62CF4">
        <w:tc>
          <w:tcPr>
            <w:tcW w:w="0" w:type="auto"/>
            <w:gridSpan w:val="2"/>
          </w:tcPr>
          <w:p w14:paraId="4B689B16" w14:textId="77777777" w:rsidR="00D84031" w:rsidRDefault="007965BB">
            <w:pPr>
              <w:pStyle w:val="CellTextValue"/>
            </w:pPr>
            <w:r>
              <w:rPr>
                <w:b/>
              </w:rPr>
              <w:t>Specific conditions</w:t>
            </w:r>
          </w:p>
        </w:tc>
      </w:tr>
      <w:tr w:rsidR="00D84031" w14:paraId="4D24FD66" w14:textId="77777777">
        <w:tc>
          <w:tcPr>
            <w:tcW w:w="0" w:type="auto"/>
          </w:tcPr>
          <w:p w14:paraId="12DC6C10" w14:textId="77777777" w:rsidR="00D84031" w:rsidRDefault="007965BB">
            <w:pPr>
              <w:pStyle w:val="CellTextValue"/>
              <w:jc w:val="left"/>
            </w:pPr>
            <w:r>
              <w:rPr>
                <w:i/>
              </w:rPr>
              <w:t>Expected EU contribution per project</w:t>
            </w:r>
          </w:p>
        </w:tc>
        <w:tc>
          <w:tcPr>
            <w:tcW w:w="0" w:type="auto"/>
          </w:tcPr>
          <w:p w14:paraId="2D2A5C55" w14:textId="77777777" w:rsidR="00D84031" w:rsidRDefault="007965BB">
            <w:pPr>
              <w:pStyle w:val="CellTextValue"/>
            </w:pPr>
            <w:r>
              <w:t>The Commission estimates that an EU contribution of between EUR 3.50 and 4.00 million would allow these outcomes to be addressed appropriately. Nonetheless, this does not preclude submission and selection of a proposal requesting different amounts.</w:t>
            </w:r>
          </w:p>
        </w:tc>
      </w:tr>
      <w:tr w:rsidR="00D84031" w14:paraId="3583CACC" w14:textId="77777777">
        <w:tc>
          <w:tcPr>
            <w:tcW w:w="0" w:type="auto"/>
          </w:tcPr>
          <w:p w14:paraId="1F1A07B3" w14:textId="77777777" w:rsidR="00D84031" w:rsidRDefault="007965BB">
            <w:pPr>
              <w:pStyle w:val="CellTextValue"/>
              <w:jc w:val="left"/>
            </w:pPr>
            <w:r>
              <w:rPr>
                <w:i/>
              </w:rPr>
              <w:t>Indicative budget</w:t>
            </w:r>
          </w:p>
        </w:tc>
        <w:tc>
          <w:tcPr>
            <w:tcW w:w="0" w:type="auto"/>
          </w:tcPr>
          <w:p w14:paraId="44A6291B" w14:textId="77777777" w:rsidR="00D84031" w:rsidRDefault="007965BB">
            <w:pPr>
              <w:pStyle w:val="CellTextValue"/>
            </w:pPr>
            <w:r>
              <w:t>The total indicative budget for the topic is EUR 12.00 million.</w:t>
            </w:r>
          </w:p>
        </w:tc>
      </w:tr>
      <w:tr w:rsidR="00D84031" w14:paraId="2D7C8140" w14:textId="77777777">
        <w:tc>
          <w:tcPr>
            <w:tcW w:w="0" w:type="auto"/>
          </w:tcPr>
          <w:p w14:paraId="1C07D3B8" w14:textId="77777777" w:rsidR="00D84031" w:rsidRDefault="007965BB">
            <w:pPr>
              <w:pStyle w:val="CellTextValue"/>
              <w:jc w:val="left"/>
            </w:pPr>
            <w:r>
              <w:rPr>
                <w:i/>
              </w:rPr>
              <w:t>Type of Action</w:t>
            </w:r>
          </w:p>
        </w:tc>
        <w:tc>
          <w:tcPr>
            <w:tcW w:w="0" w:type="auto"/>
          </w:tcPr>
          <w:p w14:paraId="73520AFD" w14:textId="77777777" w:rsidR="00D84031" w:rsidRDefault="007965BB">
            <w:pPr>
              <w:pStyle w:val="CellTextValue"/>
            </w:pPr>
            <w:r>
              <w:rPr>
                <w:color w:val="000000"/>
              </w:rPr>
              <w:t>Research and Innovation Actions</w:t>
            </w:r>
          </w:p>
        </w:tc>
      </w:tr>
      <w:tr w:rsidR="00D84031" w14:paraId="6F010146" w14:textId="77777777">
        <w:tc>
          <w:tcPr>
            <w:tcW w:w="0" w:type="auto"/>
          </w:tcPr>
          <w:p w14:paraId="1C77391D" w14:textId="77777777" w:rsidR="00D84031" w:rsidRDefault="007965BB">
            <w:pPr>
              <w:pStyle w:val="CellTextValue"/>
              <w:jc w:val="left"/>
            </w:pPr>
            <w:r>
              <w:rPr>
                <w:i/>
              </w:rPr>
              <w:t xml:space="preserve">Legal and </w:t>
            </w:r>
            <w:r>
              <w:rPr>
                <w:i/>
              </w:rPr>
              <w:t>financial set-up of the Grant Agreements</w:t>
            </w:r>
          </w:p>
        </w:tc>
        <w:tc>
          <w:tcPr>
            <w:tcW w:w="0" w:type="auto"/>
          </w:tcPr>
          <w:p w14:paraId="24D6BE3E" w14:textId="77777777" w:rsidR="00D84031" w:rsidRDefault="007965BB">
            <w:pPr>
              <w:pStyle w:val="CellTextValue"/>
            </w:pPr>
            <w:r>
              <w:rPr>
                <w:color w:val="000000"/>
              </w:rPr>
              <w:t>The rules are described in General Annex G. The following exceptions apply:</w:t>
            </w:r>
          </w:p>
          <w:p w14:paraId="5D4D068C"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61"/>
            </w:r>
            <w:r>
              <w:rPr>
                <w:color w:val="000000"/>
              </w:rPr>
              <w:t>.</w:t>
            </w:r>
          </w:p>
        </w:tc>
      </w:tr>
    </w:tbl>
    <w:p w14:paraId="149AC129" w14:textId="77777777" w:rsidR="00D84031" w:rsidRDefault="00D84031">
      <w:pPr>
        <w:spacing w:after="0" w:line="150" w:lineRule="auto"/>
      </w:pPr>
    </w:p>
    <w:p w14:paraId="0FF0F693" w14:textId="77777777" w:rsidR="00D84031" w:rsidRDefault="007965BB">
      <w:r>
        <w:rPr>
          <w:u w:val="single"/>
        </w:rPr>
        <w:t>Expected Outcome</w:t>
      </w:r>
      <w:r>
        <w:t xml:space="preserve">: </w:t>
      </w:r>
      <w:r>
        <w:rPr>
          <w:color w:val="000000"/>
        </w:rPr>
        <w:t>Projects should contribute to all of the following expected outcomes:</w:t>
      </w:r>
    </w:p>
    <w:p w14:paraId="2A300D1E" w14:textId="77777777" w:rsidR="00D84031" w:rsidRDefault="007965BB" w:rsidP="00C62CF4">
      <w:pPr>
        <w:pStyle w:val="ListParagraph"/>
        <w:numPr>
          <w:ilvl w:val="0"/>
          <w:numId w:val="30"/>
        </w:numPr>
      </w:pPr>
      <w:r>
        <w:rPr>
          <w:color w:val="000000"/>
        </w:rPr>
        <w:t>EU and national policymakers promote and protect human rights and gender equality globally by developing and implementing effective mechanisms for investigating and prosecuting international crimes, and cooperation frameworks with third countries to ensure humanitarian assistance, security, and respect for international law.</w:t>
      </w:r>
    </w:p>
    <w:p w14:paraId="1073F5B8" w14:textId="77777777" w:rsidR="00D84031" w:rsidRDefault="007965BB" w:rsidP="00C62CF4">
      <w:pPr>
        <w:pStyle w:val="ListParagraph"/>
        <w:numPr>
          <w:ilvl w:val="0"/>
          <w:numId w:val="30"/>
        </w:numPr>
      </w:pPr>
      <w:r>
        <w:rPr>
          <w:color w:val="000000"/>
        </w:rPr>
        <w:t xml:space="preserve">Organisations in the Western Balkans, accession countries and low- and lower middle-income countries empower vulnerable groups and excluded or marginalized individuals, including, by promoting and protecting human rights and gender equality, providing </w:t>
      </w:r>
      <w:r>
        <w:rPr>
          <w:color w:val="000000"/>
        </w:rPr>
        <w:lastRenderedPageBreak/>
        <w:t xml:space="preserve">essential services, and advocating for policy changes that advance equality and social justice, through enhanced capacity, awareness, strengthened partnerships, and effective reporting of human rights abuses. </w:t>
      </w:r>
    </w:p>
    <w:p w14:paraId="4BA641B3" w14:textId="77777777" w:rsidR="00D84031" w:rsidRDefault="007965BB" w:rsidP="00C62CF4">
      <w:pPr>
        <w:pStyle w:val="ListParagraph"/>
        <w:numPr>
          <w:ilvl w:val="0"/>
          <w:numId w:val="30"/>
        </w:numPr>
      </w:pPr>
      <w:r>
        <w:rPr>
          <w:color w:val="000000"/>
        </w:rPr>
        <w:t xml:space="preserve">EU and national policymakers integrate human rights considerations into trade policies and practices, ensuring that trade agreements, supply chains, and labour standards promote human dignity, equality, fairness and well-being, and prevent human rights abuses. </w:t>
      </w:r>
    </w:p>
    <w:p w14:paraId="44335029" w14:textId="77777777" w:rsidR="00D84031" w:rsidRDefault="007965BB">
      <w:r>
        <w:rPr>
          <w:u w:val="single"/>
        </w:rPr>
        <w:t>Scope</w:t>
      </w:r>
      <w:r>
        <w:t xml:space="preserve">: </w:t>
      </w:r>
      <w:r>
        <w:rPr>
          <w:color w:val="000000"/>
        </w:rPr>
        <w:t>The promotion of human rights and gender and age equality is a pressing concern for the European Union in today's multipolar world, where vulnerable groups and excluded or marginalized individuals, including ethnic and religious minorities, people with disabilities, migrants, as well as women, and LGBTIQ individuals, face persecution, discrimination, and violence. The EU's response to these issues is influenced also by the complexities of global governance, trade, human rights and rule of law, and geopoli</w:t>
      </w:r>
      <w:r>
        <w:rPr>
          <w:color w:val="000000"/>
        </w:rPr>
        <w:t>tical interests. The use of trade sanctions and conditionality to promote human rights is a highly debated topic, and ensuring accountability for human rights violations is a critical challenge.</w:t>
      </w:r>
    </w:p>
    <w:p w14:paraId="7F971074" w14:textId="77777777" w:rsidR="00D84031" w:rsidRDefault="007965BB">
      <w:r>
        <w:rPr>
          <w:color w:val="000000"/>
        </w:rPr>
        <w:t xml:space="preserve">The EU's values and human rights are being tested in a global context, where trade policies, supply chains, and labour rights are increasingly intertwined. The impact of trade sanctions, conditionality, and other measures on human </w:t>
      </w:r>
      <w:r>
        <w:rPr>
          <w:color w:val="000000"/>
        </w:rPr>
        <w:t>rights is unclear, and the role of national and international courts and international organisations in promoting accountability is uncertain and increasingly contested.</w:t>
      </w:r>
    </w:p>
    <w:p w14:paraId="615F30FE" w14:textId="77777777" w:rsidR="00D84031" w:rsidRDefault="007965BB">
      <w:r>
        <w:rPr>
          <w:color w:val="000000"/>
        </w:rPr>
        <w:t>Moreover, the EU's external actions and Member States’ foreign policies can also have internal consequences, for instance undermining its democratic reputation and values if they are perceived as inconsistent or hypocritical, or negative impacts on European enterprises in terms of access to markets or critical raw materials. For groups, such as refugees, women, LGBTIQ persons, elderly persons, and indigenous peoples, who are already subject to various types of exclusion and discrimination and who might be f</w:t>
      </w:r>
      <w:r>
        <w:rPr>
          <w:color w:val="000000"/>
        </w:rPr>
        <w:t>urther disenfranchised by the EU's foreign policy, this is particularly problematic.</w:t>
      </w:r>
    </w:p>
    <w:p w14:paraId="1BE76E0C" w14:textId="77777777" w:rsidR="00D84031" w:rsidRDefault="007965BB">
      <w:r>
        <w:rPr>
          <w:color w:val="000000"/>
        </w:rPr>
        <w:t>There is a need for research to better understand these complex relationships and to identify innovative approaches to promoting and protecting human rights and gender equality. This includes examining the impact of trade policies and investments policies (including Global Gateway infrastructure investment strategy) on human rights, and on the perception of the EU as a values-based actor, developing effective diplomatic strategies and cooperation frameworks, and investigating the role of national courts and</w:t>
      </w:r>
      <w:r>
        <w:rPr>
          <w:color w:val="000000"/>
        </w:rPr>
        <w:t xml:space="preserve"> international organisations in promoting accountability.</w:t>
      </w:r>
    </w:p>
    <w:p w14:paraId="187579CF" w14:textId="77777777" w:rsidR="00D84031" w:rsidRDefault="007965BB">
      <w:r>
        <w:rPr>
          <w:color w:val="000000"/>
        </w:rPr>
        <w:t>Proposals may also incorporate participatory research approaches to enhance inclusivity and stakeholder engagement.</w:t>
      </w:r>
    </w:p>
    <w:p w14:paraId="6DCEBD8F" w14:textId="77777777" w:rsidR="00D84031" w:rsidRDefault="007965BB">
      <w:r>
        <w:rPr>
          <w:color w:val="000000"/>
        </w:rPr>
        <w:t xml:space="preserve">Proposals are encouraged to identify other relevant EU-funded projects related to EU democracy support, civil society engagement, and international cooperation on sustainable </w:t>
      </w:r>
      <w:r>
        <w:rPr>
          <w:color w:val="000000"/>
        </w:rPr>
        <w:lastRenderedPageBreak/>
        <w:t>peace and democratic governance, and to explore potential collaboration opportunities with them.</w:t>
      </w:r>
    </w:p>
    <w:p w14:paraId="2F4AFC1B" w14:textId="77777777" w:rsidR="00D84031" w:rsidRDefault="007965BB">
      <w:r>
        <w:rPr>
          <w:color w:val="000000"/>
        </w:rPr>
        <w:t>The geographical scope of this research should include the EU Neighbourhood</w:t>
      </w:r>
      <w:r>
        <w:rPr>
          <w:vertAlign w:val="superscript"/>
        </w:rPr>
        <w:footnoteReference w:id="62"/>
      </w:r>
      <w:r>
        <w:rPr>
          <w:color w:val="000000"/>
        </w:rPr>
        <w:t xml:space="preserve"> and low- and lower middle-income countries</w:t>
      </w:r>
      <w:r>
        <w:rPr>
          <w:vertAlign w:val="superscript"/>
        </w:rPr>
        <w:footnoteReference w:id="63"/>
      </w:r>
      <w:r>
        <w:rPr>
          <w:color w:val="000000"/>
        </w:rPr>
        <w:t>, with a focus on the Western Balkan and the accession countries. International cooperation is strongly encouraged.</w:t>
      </w:r>
    </w:p>
    <w:p w14:paraId="6AB653AD" w14:textId="77777777" w:rsidR="00D84031" w:rsidRDefault="007965BB">
      <w:pPr>
        <w:pStyle w:val="HeadingThree"/>
      </w:pPr>
      <w:r>
        <w:t>HORIZON-CL2-2027-02-DEMOCRACY-09-two-stage: Open topic on reinvigorating and shielding European democracy</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411BD2D0" w14:textId="77777777" w:rsidTr="00C62CF4">
        <w:tc>
          <w:tcPr>
            <w:tcW w:w="0" w:type="auto"/>
            <w:gridSpan w:val="2"/>
          </w:tcPr>
          <w:p w14:paraId="6FB4F2B4" w14:textId="77777777" w:rsidR="00D84031" w:rsidRDefault="007965BB">
            <w:pPr>
              <w:pStyle w:val="CellTextValue"/>
            </w:pPr>
            <w:r>
              <w:rPr>
                <w:b/>
              </w:rPr>
              <w:t>Call: Culture, Creativity and Inclusive Society - 2027 - Two-stage</w:t>
            </w:r>
          </w:p>
        </w:tc>
      </w:tr>
      <w:tr w:rsidR="00C62CF4" w14:paraId="5A1913E0" w14:textId="77777777" w:rsidTr="00C62CF4">
        <w:tc>
          <w:tcPr>
            <w:tcW w:w="0" w:type="auto"/>
            <w:gridSpan w:val="2"/>
          </w:tcPr>
          <w:p w14:paraId="63733D7E" w14:textId="77777777" w:rsidR="00D84031" w:rsidRDefault="007965BB">
            <w:pPr>
              <w:pStyle w:val="CellTextValue"/>
            </w:pPr>
            <w:r>
              <w:rPr>
                <w:b/>
              </w:rPr>
              <w:t>Specific conditions</w:t>
            </w:r>
          </w:p>
        </w:tc>
      </w:tr>
      <w:tr w:rsidR="00D84031" w14:paraId="24F5A4B9" w14:textId="77777777">
        <w:tc>
          <w:tcPr>
            <w:tcW w:w="0" w:type="auto"/>
          </w:tcPr>
          <w:p w14:paraId="0F1C6027" w14:textId="77777777" w:rsidR="00D84031" w:rsidRDefault="007965BB">
            <w:pPr>
              <w:pStyle w:val="CellTextValue"/>
              <w:jc w:val="left"/>
            </w:pPr>
            <w:r>
              <w:rPr>
                <w:i/>
              </w:rPr>
              <w:t>Expected EU contribution per project</w:t>
            </w:r>
          </w:p>
        </w:tc>
        <w:tc>
          <w:tcPr>
            <w:tcW w:w="0" w:type="auto"/>
          </w:tcPr>
          <w:p w14:paraId="4EA18199" w14:textId="77777777" w:rsidR="00D84031" w:rsidRDefault="007965BB">
            <w:pPr>
              <w:pStyle w:val="CellTextValue"/>
            </w:pPr>
            <w:r>
              <w:t>The Commission estimates that an EU contribution of between EUR 2.00 and 3.70 million would allow these outcomes to be addressed appropriately. Nonetheless, this does not preclude submission and selection of a proposal requesting different amounts.</w:t>
            </w:r>
          </w:p>
        </w:tc>
      </w:tr>
      <w:tr w:rsidR="00D84031" w14:paraId="19A31299" w14:textId="77777777">
        <w:tc>
          <w:tcPr>
            <w:tcW w:w="0" w:type="auto"/>
          </w:tcPr>
          <w:p w14:paraId="7EBD1463" w14:textId="77777777" w:rsidR="00D84031" w:rsidRDefault="007965BB">
            <w:pPr>
              <w:pStyle w:val="CellTextValue"/>
              <w:jc w:val="left"/>
            </w:pPr>
            <w:r>
              <w:rPr>
                <w:i/>
              </w:rPr>
              <w:t>Indicative budget</w:t>
            </w:r>
          </w:p>
        </w:tc>
        <w:tc>
          <w:tcPr>
            <w:tcW w:w="0" w:type="auto"/>
          </w:tcPr>
          <w:p w14:paraId="36C4093C" w14:textId="77777777" w:rsidR="00D84031" w:rsidRDefault="007965BB">
            <w:pPr>
              <w:pStyle w:val="CellTextValue"/>
            </w:pPr>
            <w:r>
              <w:t>The total indicative budget for the topic is EUR 22.00 million.</w:t>
            </w:r>
          </w:p>
        </w:tc>
      </w:tr>
      <w:tr w:rsidR="00D84031" w14:paraId="4923279D" w14:textId="77777777">
        <w:tc>
          <w:tcPr>
            <w:tcW w:w="0" w:type="auto"/>
          </w:tcPr>
          <w:p w14:paraId="200D3C38" w14:textId="77777777" w:rsidR="00D84031" w:rsidRDefault="007965BB">
            <w:pPr>
              <w:pStyle w:val="CellTextValue"/>
              <w:jc w:val="left"/>
            </w:pPr>
            <w:r>
              <w:rPr>
                <w:i/>
              </w:rPr>
              <w:t>Type of Action</w:t>
            </w:r>
          </w:p>
        </w:tc>
        <w:tc>
          <w:tcPr>
            <w:tcW w:w="0" w:type="auto"/>
          </w:tcPr>
          <w:p w14:paraId="36CBF282" w14:textId="77777777" w:rsidR="00D84031" w:rsidRDefault="007965BB">
            <w:pPr>
              <w:pStyle w:val="CellTextValue"/>
            </w:pPr>
            <w:r>
              <w:rPr>
                <w:color w:val="000000"/>
              </w:rPr>
              <w:t>Research and Innovation Actions</w:t>
            </w:r>
          </w:p>
        </w:tc>
      </w:tr>
      <w:tr w:rsidR="00D84031" w14:paraId="1ED40608" w14:textId="77777777">
        <w:tc>
          <w:tcPr>
            <w:tcW w:w="0" w:type="auto"/>
          </w:tcPr>
          <w:p w14:paraId="64B38953" w14:textId="77777777" w:rsidR="00D84031" w:rsidRDefault="007965BB">
            <w:pPr>
              <w:pStyle w:val="CellTextValue"/>
              <w:jc w:val="left"/>
            </w:pPr>
            <w:r>
              <w:rPr>
                <w:i/>
              </w:rPr>
              <w:t>Eligibility conditions</w:t>
            </w:r>
          </w:p>
        </w:tc>
        <w:tc>
          <w:tcPr>
            <w:tcW w:w="0" w:type="auto"/>
          </w:tcPr>
          <w:p w14:paraId="56A82671" w14:textId="77777777" w:rsidR="00D84031" w:rsidRDefault="007965BB">
            <w:pPr>
              <w:pStyle w:val="CellTextValue"/>
            </w:pPr>
            <w:r>
              <w:rPr>
                <w:color w:val="000000"/>
              </w:rPr>
              <w:t>The conditions are described in General Annex B. The following exceptions apply:</w:t>
            </w:r>
          </w:p>
          <w:p w14:paraId="0BD7AF78" w14:textId="77777777" w:rsidR="00D84031" w:rsidRDefault="007965BB">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p w14:paraId="6C735014" w14:textId="77777777" w:rsidR="00D84031" w:rsidRDefault="007965BB">
            <w:pPr>
              <w:pStyle w:val="CellTextValue"/>
            </w:pPr>
            <w:r>
              <w:rPr>
                <w:color w:val="000000"/>
              </w:rPr>
              <w:t>In order to achieve the expected outcomes, consortia must include, as beneficiaries or affiliated entities, (i) at least one relevant public body with a policy-making role; and (ii) at least one relevant civil society organisation.</w:t>
            </w:r>
          </w:p>
        </w:tc>
      </w:tr>
      <w:tr w:rsidR="00D84031" w14:paraId="48D08760" w14:textId="77777777">
        <w:tc>
          <w:tcPr>
            <w:tcW w:w="0" w:type="auto"/>
          </w:tcPr>
          <w:p w14:paraId="46F810A3" w14:textId="77777777" w:rsidR="00D84031" w:rsidRDefault="007965BB">
            <w:pPr>
              <w:pStyle w:val="CellTextValue"/>
              <w:jc w:val="left"/>
            </w:pPr>
            <w:r>
              <w:rPr>
                <w:i/>
              </w:rPr>
              <w:t xml:space="preserve">Legal and financial set-up of the Grant </w:t>
            </w:r>
            <w:r>
              <w:rPr>
                <w:i/>
              </w:rPr>
              <w:lastRenderedPageBreak/>
              <w:t>Agreements</w:t>
            </w:r>
          </w:p>
        </w:tc>
        <w:tc>
          <w:tcPr>
            <w:tcW w:w="0" w:type="auto"/>
          </w:tcPr>
          <w:p w14:paraId="35A30BBE" w14:textId="77777777" w:rsidR="00D84031" w:rsidRDefault="007965BB">
            <w:pPr>
              <w:pStyle w:val="CellTextValue"/>
            </w:pPr>
            <w:r>
              <w:rPr>
                <w:color w:val="000000"/>
              </w:rPr>
              <w:lastRenderedPageBreak/>
              <w:t>The rules are described in General Annex G. The following exceptions apply:</w:t>
            </w:r>
          </w:p>
          <w:p w14:paraId="4B063949" w14:textId="77777777" w:rsidR="00D84031" w:rsidRDefault="007965BB">
            <w:pPr>
              <w:pStyle w:val="CellTextValue"/>
            </w:pPr>
            <w:r>
              <w:rPr>
                <w:color w:val="000000"/>
              </w:rPr>
              <w:lastRenderedPageBreak/>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64"/>
            </w:r>
            <w:r>
              <w:rPr>
                <w:color w:val="000000"/>
              </w:rPr>
              <w:t>.</w:t>
            </w:r>
          </w:p>
        </w:tc>
      </w:tr>
    </w:tbl>
    <w:p w14:paraId="02E65043" w14:textId="77777777" w:rsidR="00D84031" w:rsidRDefault="00D84031">
      <w:pPr>
        <w:spacing w:after="0" w:line="150" w:lineRule="auto"/>
      </w:pPr>
    </w:p>
    <w:p w14:paraId="58A1BA68" w14:textId="77777777" w:rsidR="00D84031" w:rsidRDefault="007965BB">
      <w:r>
        <w:rPr>
          <w:u w:val="single"/>
        </w:rPr>
        <w:t>Expected Outcome</w:t>
      </w:r>
      <w:r>
        <w:t xml:space="preserve">: </w:t>
      </w:r>
      <w:r>
        <w:rPr>
          <w:color w:val="000000"/>
        </w:rPr>
        <w:t>Projects should contribute to all of the following expected outcomes:</w:t>
      </w:r>
    </w:p>
    <w:p w14:paraId="4F791E18" w14:textId="77777777" w:rsidR="00D84031" w:rsidRDefault="007965BB" w:rsidP="00C62CF4">
      <w:pPr>
        <w:pStyle w:val="ListParagraph"/>
        <w:numPr>
          <w:ilvl w:val="0"/>
          <w:numId w:val="31"/>
        </w:numPr>
      </w:pPr>
      <w:r>
        <w:rPr>
          <w:color w:val="000000"/>
        </w:rPr>
        <w:t xml:space="preserve"> EU institutions and national decision-makers, civil society organisations and other societal actors, democracy practitioners and citizens at large are better equipped, with new data, knowledge and methods, to confront threats and challenges of democracies as well as to enhance their inclusiveness and participatory elan.</w:t>
      </w:r>
    </w:p>
    <w:p w14:paraId="7484684A" w14:textId="77777777" w:rsidR="00D84031" w:rsidRDefault="007965BB" w:rsidP="00C62CF4">
      <w:pPr>
        <w:pStyle w:val="ListParagraph"/>
        <w:numPr>
          <w:ilvl w:val="0"/>
          <w:numId w:val="31"/>
        </w:numPr>
      </w:pPr>
      <w:r>
        <w:rPr>
          <w:color w:val="000000"/>
        </w:rPr>
        <w:t xml:space="preserve">Strengthened citizens’ long-lasting engagement in the democratic life, including but going beyond electoral processes, and increased trust in democratic institutions.  </w:t>
      </w:r>
    </w:p>
    <w:p w14:paraId="16A1DC77" w14:textId="77777777" w:rsidR="00D84031" w:rsidRDefault="007965BB">
      <w:r>
        <w:rPr>
          <w:u w:val="single"/>
        </w:rPr>
        <w:t>Scope</w:t>
      </w:r>
      <w:r>
        <w:t xml:space="preserve">: </w:t>
      </w:r>
      <w:r>
        <w:rPr>
          <w:color w:val="000000"/>
        </w:rPr>
        <w:t>The Political Guidelines for 2024-2029 of the European Commission</w:t>
      </w:r>
      <w:r>
        <w:rPr>
          <w:vertAlign w:val="superscript"/>
        </w:rPr>
        <w:footnoteReference w:id="65"/>
      </w:r>
      <w:r>
        <w:rPr>
          <w:color w:val="000000"/>
        </w:rPr>
        <w:t xml:space="preserve"> announced a new European Democracy Shield. Building on the European Democracy Action Plan</w:t>
      </w:r>
      <w:r>
        <w:rPr>
          <w:vertAlign w:val="superscript"/>
        </w:rPr>
        <w:footnoteReference w:id="66"/>
      </w:r>
      <w:r>
        <w:rPr>
          <w:color w:val="000000"/>
        </w:rPr>
        <w:t xml:space="preserve"> and the Defence of Democracy Package</w:t>
      </w:r>
      <w:r>
        <w:rPr>
          <w:vertAlign w:val="superscript"/>
        </w:rPr>
        <w:footnoteReference w:id="67"/>
      </w:r>
      <w:r>
        <w:rPr>
          <w:color w:val="000000"/>
        </w:rPr>
        <w:t>, this initiative aims to address the increasing threats to democratic systems, institutions and processes within the EU, arising from both internal and external sources, often driven by various hostile actors aiming to undermine citizens’ trust in democracy and its institutions. The Shield should also contribute to rebuilding citizens’ trust in democracy and the political sphere, including by responding to their social and economic needs. In addition, the Commission has also announced an updated strategy o</w:t>
      </w:r>
      <w:r>
        <w:rPr>
          <w:color w:val="000000"/>
        </w:rPr>
        <w:t>n LGBTIQ equality, a new anti-racism strategy, a new gender equality strategy, a roadmap for women’s rights</w:t>
      </w:r>
      <w:r>
        <w:rPr>
          <w:vertAlign w:val="superscript"/>
        </w:rPr>
        <w:footnoteReference w:id="68"/>
      </w:r>
      <w:r>
        <w:rPr>
          <w:color w:val="000000"/>
        </w:rPr>
        <w:t xml:space="preserve"> while continuing implementing the Strategy for the rights of persons with disabilities 2021-2030</w:t>
      </w:r>
      <w:r>
        <w:rPr>
          <w:vertAlign w:val="superscript"/>
        </w:rPr>
        <w:footnoteReference w:id="69"/>
      </w:r>
      <w:r>
        <w:rPr>
          <w:color w:val="000000"/>
        </w:rPr>
        <w:t>, in line with the United Nations Convention on the rights of persons with disabilities, which the EU and its Member States are parties to</w:t>
      </w:r>
      <w:r>
        <w:rPr>
          <w:vertAlign w:val="superscript"/>
        </w:rPr>
        <w:footnoteReference w:id="70"/>
      </w:r>
      <w:r>
        <w:rPr>
          <w:color w:val="000000"/>
        </w:rPr>
        <w:t>.</w:t>
      </w:r>
    </w:p>
    <w:p w14:paraId="5A938530" w14:textId="77777777" w:rsidR="00D84031" w:rsidRDefault="007965BB">
      <w:r>
        <w:rPr>
          <w:color w:val="000000"/>
        </w:rPr>
        <w:t xml:space="preserve">Both work strands, defence and promotion of democracy, its protection and the enhancement of its inclusiveness and fairness, should be seen as one and the same task. Ensuring full, equal and meaningful political participation for everyone, regardless of sex, gender, racial or ethnic origin, religion or belief, disability, age or sexual orientation, fosters more stable and resilient democracies. Decision-making processes that incorporate a wider range of perspectives and </w:t>
      </w:r>
      <w:r>
        <w:rPr>
          <w:color w:val="000000"/>
        </w:rPr>
        <w:lastRenderedPageBreak/>
        <w:t>experiences leads to policies that are more comprehensive and attuned to the needs of all citizens.</w:t>
      </w:r>
    </w:p>
    <w:p w14:paraId="686978F9" w14:textId="77777777" w:rsidR="00D84031" w:rsidRDefault="007965BB">
      <w:r>
        <w:rPr>
          <w:color w:val="000000"/>
        </w:rPr>
        <w:t>Under this open topic, proposals are expected to address existing, upcoming or unforeseen challenges and/or creative or disruptive solutions for protecting European democracy, enhancing citizens’ trust and political participation, and expanding inclusiveness and fairness of democratic institutions and practices. Proposals should address unmet research needs, complementing previous Horizon Europe calls (since Work Programme 2021-2022 and including also the present Work Programme).</w:t>
      </w:r>
    </w:p>
    <w:p w14:paraId="3152CFEF" w14:textId="77777777" w:rsidR="00D84031" w:rsidRDefault="007965BB">
      <w:r>
        <w:rPr>
          <w:color w:val="000000"/>
        </w:rPr>
        <w:t>In that sense, proposals should consider, build on – if appropriate – while not duplicating, previous research, including but not limited to, research by other Horizon Europe projects, in particular in the context of this destination. Coordination among the successful proposals from this topic should be envisaged to avoid duplication and to exploit complementarities as well as opportunities for increased impact.</w:t>
      </w:r>
    </w:p>
    <w:p w14:paraId="50FFD7BE" w14:textId="77777777" w:rsidR="00D84031" w:rsidRDefault="007965BB">
      <w:r>
        <w:rPr>
          <w:color w:val="000000"/>
        </w:rPr>
        <w:t>Given the multifaceted character of the challenges confronted by democracies, applicants should ensure effective interdisciplinary collaborations by building consortia with the participation of all relevant disciplines, depending of course on the nature of the selected democratic challenge and research angle.</w:t>
      </w:r>
    </w:p>
    <w:p w14:paraId="02047EA7" w14:textId="77777777" w:rsidR="00D84031" w:rsidRDefault="007965BB">
      <w:r>
        <w:rPr>
          <w:color w:val="000000"/>
        </w:rPr>
        <w:t>Applicants are encouraged to adopt innovative approaches, including also by considering alternative and complementary theoretical democracy models, facilitating the development and potential uptake of solutions. To ensure the active involvement of and timely feedback from relevant democracy practitioners and policymakers, proposals should plan a mid-term deliverable consisting in the assessment of the project’s mid-term contributions to the expected outcomes, performed by the democracy practitioners and pol</w:t>
      </w:r>
      <w:r>
        <w:rPr>
          <w:color w:val="000000"/>
        </w:rPr>
        <w:t>icy-makers involved in the project. Proposals should directly engage citizens, as well as civil society organisations, to enable broader public debate and explore uptake of democratic innovations and better anticipate potential risks.</w:t>
      </w:r>
    </w:p>
    <w:p w14:paraId="017B6BFE" w14:textId="77777777" w:rsidR="00D84031" w:rsidRDefault="007965BB">
      <w:r>
        <w:rPr>
          <w:color w:val="000000"/>
        </w:rPr>
        <w:t>Proposals are encouraged to collaborate with the JRC Competence Centre on Participatory and Deliberative Democracy, particularly with respect to demonstrating how structured opportunities for citizen participation strengthen inclusiveness and fairness of democratic institutions and practices, and foster evolution in democratic public spaces.</w:t>
      </w:r>
    </w:p>
    <w:p w14:paraId="76EA9FE7" w14:textId="77777777" w:rsidR="00D84031" w:rsidRDefault="007965BB">
      <w:r>
        <w:rPr>
          <w:color w:val="000000"/>
        </w:rPr>
        <w:t>Where applicable, proposals should leverage the data and services available through European Research Infrastructures federated under the European Open Science Cloud (EOSC), as well as data from relevant Data Spaces. Particular efforts should be made to ensure that the data produced in the context of this topic is FAIR (Findable, Accessible, Interoperable and Re-usable).</w:t>
      </w:r>
    </w:p>
    <w:p w14:paraId="22054D56" w14:textId="77777777" w:rsidR="00D84031" w:rsidRPr="00C62CF4" w:rsidRDefault="007965BB">
      <w:pPr>
        <w:pStyle w:val="HeadingTwo"/>
        <w:pageBreakBefore/>
        <w:rPr>
          <w:lang w:val="en-IE"/>
        </w:rPr>
      </w:pPr>
      <w:r w:rsidRPr="00C62CF4">
        <w:rPr>
          <w:lang w:val="en-IE"/>
        </w:rPr>
        <w:lastRenderedPageBreak/>
        <w:t>Destination Innovative Research on European Cultural Heritage and Cultural and Creative Industries</w:t>
      </w:r>
    </w:p>
    <w:p w14:paraId="40749C9B" w14:textId="77777777" w:rsidR="00D84031" w:rsidRDefault="007965BB">
      <w:r>
        <w:rPr>
          <w:color w:val="000000"/>
        </w:rPr>
        <w:t>Europe’s rich cultural heritage and strong creative industries not only reflect our past but also shape our future. It is by building on this foundation and developing our strengths that we can face the great challenges of our time with confidence and shape a desirable common future. Europe's cultural heritage originates from the interaction between people and places through time and is constantly evolving</w:t>
      </w:r>
      <w:r>
        <w:rPr>
          <w:vertAlign w:val="superscript"/>
        </w:rPr>
        <w:footnoteReference w:id="71"/>
      </w:r>
      <w:r>
        <w:rPr>
          <w:color w:val="000000"/>
        </w:rPr>
        <w:t>. Every citizen has a right to engage with the cultural heritage of their choice, while respecting the rights and freedoms of others, as an aspect of the right freely to participate in cultural life</w:t>
      </w:r>
      <w:r>
        <w:rPr>
          <w:vertAlign w:val="superscript"/>
        </w:rPr>
        <w:footnoteReference w:id="72"/>
      </w:r>
      <w:r>
        <w:rPr>
          <w:color w:val="000000"/>
        </w:rPr>
        <w:t>.</w:t>
      </w:r>
    </w:p>
    <w:p w14:paraId="54A8C145" w14:textId="77777777" w:rsidR="00D84031" w:rsidRDefault="007965BB">
      <w:r>
        <w:rPr>
          <w:color w:val="000000"/>
        </w:rPr>
        <w:t>Europe’s diverse tangible and intangible cultural heritage and dynamic cultural and creative industries (CCIs) are strategic assets. They enrich our lives, foster social cohesion and societal resilience, and contribute to a sense of belonging. They underpin a growing economy that generates more employment than the automotive industry and a similar trade balance as food, drinks and tobacco combined. Many of Europe’s multinational companies build their international success on European heritage and creativity</w:t>
      </w:r>
      <w:r>
        <w:rPr>
          <w:color w:val="000000"/>
        </w:rPr>
        <w:t>. At the same time, the sector is nurturing large numbers of dynamic small, medium (SMEs) and micro enterprises, creating employment not the least for young people, while deploying their creativity not only to generate income but also to contribute to social and cultural sustainability, wellbeing and to projecting European values at home and abroad. The cultural and creative industries are engines of innovation not only in themselves, but across the entire economy, thus contributing strongly to Europe’s ove</w:t>
      </w:r>
      <w:r>
        <w:rPr>
          <w:color w:val="000000"/>
        </w:rPr>
        <w:t>rall competitiveness and future prosperity.</w:t>
      </w:r>
    </w:p>
    <w:p w14:paraId="690B6189" w14:textId="77777777" w:rsidR="00D84031" w:rsidRDefault="007965BB">
      <w:r>
        <w:rPr>
          <w:color w:val="000000"/>
        </w:rPr>
        <w:t>This destination adopts a people-centred perspective and places cultural heritage and the cultural and creative industries at the very heart of the European economy, its competitiveness and sustainability. R&amp;I activities under this destination will be aligned with the main principles and objectives of the Culture Compass for Europe. They will support and strengthen European cultural heritage and cultural and creative industries essentially along the following lines:</w:t>
      </w:r>
    </w:p>
    <w:p w14:paraId="74A9AD11" w14:textId="77777777" w:rsidR="00D84031" w:rsidRDefault="007965BB">
      <w:r>
        <w:rPr>
          <w:b/>
          <w:color w:val="000000"/>
        </w:rPr>
        <w:t>Europe’s sustainable prosperity and competitiveness</w:t>
      </w:r>
      <w:r>
        <w:rPr>
          <w:color w:val="000000"/>
        </w:rPr>
        <w:t>: To secure Europe’s future prosperity and competitiveness, it is necessary to unlock the innovative power of our cultural heritage and CCIs. The CCIs contribute strongly to drive innovation not only in themselves but also in other industries and economic sectors, shape new technologies and can contribute to user-driven innovation, open innovation and cross-sectoral innovation, in addition to their wider societal contributions such as to cultural wealth, social cohesion and resilience.</w:t>
      </w:r>
    </w:p>
    <w:p w14:paraId="2C615F63" w14:textId="77777777" w:rsidR="00D84031" w:rsidRDefault="007965BB">
      <w:r>
        <w:rPr>
          <w:color w:val="000000"/>
        </w:rPr>
        <w:t xml:space="preserve">R&amp;I actions under this area will focus on boosting the innovation-driving role of the CCIs, on creative startups, on the impact of artificial intelligence technologies on creativity and CCIs, while ensuring that new technologies are fairly deployed, along with the contributions of </w:t>
      </w:r>
      <w:r>
        <w:rPr>
          <w:color w:val="000000"/>
        </w:rPr>
        <w:lastRenderedPageBreak/>
        <w:t>artistic intelligence and soft skills, boosting a circular economy and global partnerships in cultural policies and CCIs, among other things.</w:t>
      </w:r>
    </w:p>
    <w:p w14:paraId="2E951655" w14:textId="77777777" w:rsidR="00D84031" w:rsidRDefault="007965BB">
      <w:r>
        <w:rPr>
          <w:b/>
          <w:color w:val="000000"/>
        </w:rPr>
        <w:t>Supporting people, strengthening our societies and our social model</w:t>
      </w:r>
      <w:r>
        <w:rPr>
          <w:color w:val="000000"/>
        </w:rPr>
        <w:t xml:space="preserve">: Cultural heritage, the arts and the CCIs have a crucial role to play for resilient and socially sustainable societies, shaping and strengthening the values that hold us together and give meaning and a sense of belonging. </w:t>
      </w:r>
    </w:p>
    <w:p w14:paraId="28868BA7" w14:textId="77777777" w:rsidR="00D84031" w:rsidRDefault="007965BB">
      <w:r>
        <w:rPr>
          <w:color w:val="000000"/>
        </w:rPr>
        <w:t>R&amp;I actions under this area will focus on boosting the role of culture, the arts and creative industries in contributing to well-being, to the social economy and in general the societal impact of cultural heritage. R&amp;I actions will explore and strengthen the role of culture, heritage and CCIs in shaping the technologies of the future and focus on safeguarding intangible heritage and linguistic diversity, on sustainable cultural tourism and on countering illicit trafficking of cultural goods, among others.</w:t>
      </w:r>
    </w:p>
    <w:p w14:paraId="4CA8582A" w14:textId="77777777" w:rsidR="00D84031" w:rsidRDefault="007965BB">
      <w:r>
        <w:rPr>
          <w:color w:val="000000"/>
        </w:rPr>
        <w:t xml:space="preserve">Some actions funded under this Destination will need access to and/or generate data. Where appropriate, actions should leverage the data and services available through European Research Infrastructures federated under the European Open Science Cloud or included in the European Strategy Forum on Research Infrastructures (ESFRI) and the ESFRI roadmap, as well as data from relevant Data Spaces. Particular efforts should be made to ensure that the data produced in the context of such actions is FAIR (Findable, </w:t>
      </w:r>
      <w:r>
        <w:rPr>
          <w:color w:val="000000"/>
        </w:rPr>
        <w:t>Accessible, Interoperable and Re-usable).</w:t>
      </w:r>
    </w:p>
    <w:p w14:paraId="714B1C92" w14:textId="77777777" w:rsidR="00D84031" w:rsidRDefault="007965BB">
      <w:r>
        <w:rPr>
          <w:color w:val="000000"/>
        </w:rPr>
        <w:t xml:space="preserve">The innovation ecosystems created and nurtured by the Knowledge and Innovation Communities (KICs) of the European Institute of Innovation and Technology (EIT), in particular the KIC “EIT Culture and Creativity”, may contribute to actions </w:t>
      </w:r>
      <w:r>
        <w:rPr>
          <w:color w:val="000000"/>
        </w:rPr>
        <w:t>under this destination, and may as appropriate be considered by applicants. Furthermore, applicants are invited to consult funding opportunities in other parts of the Horizon Europe Work Programme, including for instance the funding opportunities for companies, high potential start-ups, entrepreneurs and innovative researchers offered under the European Innovation Council.</w:t>
      </w:r>
    </w:p>
    <w:p w14:paraId="6993FAA8" w14:textId="77777777" w:rsidR="00D84031" w:rsidRDefault="007965BB">
      <w:r>
        <w:rPr>
          <w:color w:val="000000"/>
        </w:rPr>
        <w:t>In line with the Commission priorities, R&amp;I actions under this Destination will help ensure Europe’s sustainable prosperity and competitiveness, support people, strengthening our societies and our social model, contribute to protecting our democracy, upholding our values and boosting a global Europe, leveraging our power and partnerships. They will contribute to reaching the UN Sustainable Development Goals and to building a stronger, more participatory and crisis-resilient society and economy. They will su</w:t>
      </w:r>
      <w:r>
        <w:rPr>
          <w:color w:val="000000"/>
        </w:rPr>
        <w:t>pport the realisation of the full potential of cultural heritage, arts and cultural and creative industries as drivers of sustainable innovation and a European sense of belonging.</w:t>
      </w:r>
    </w:p>
    <w:p w14:paraId="6D03F557" w14:textId="77777777" w:rsidR="00D84031" w:rsidRDefault="007965BB">
      <w:r>
        <w:rPr>
          <w:color w:val="000000"/>
        </w:rPr>
        <w:t>To maximise the impacts of R&amp;I under this Destination in line with EU priorities, international cooperation is encouraged whenever relevant in the proposed topics.</w:t>
      </w:r>
    </w:p>
    <w:p w14:paraId="4BE8038A" w14:textId="77777777" w:rsidR="00D84031" w:rsidRDefault="007965BB">
      <w:r>
        <w:rPr>
          <w:color w:val="000000"/>
          <w:u w:val="single"/>
        </w:rPr>
        <w:t>Expected impact</w:t>
      </w:r>
      <w:r>
        <w:rPr>
          <w:color w:val="000000"/>
        </w:rPr>
        <w:t>:</w:t>
      </w:r>
    </w:p>
    <w:p w14:paraId="1EDCA591" w14:textId="77777777" w:rsidR="00D84031" w:rsidRDefault="007965BB">
      <w:r>
        <w:rPr>
          <w:color w:val="000000"/>
        </w:rPr>
        <w:lastRenderedPageBreak/>
        <w:t>Proposals for topics under this Destination should set out a credible pathway to contributing to the following expected impact of the Horizon Europe Strategic Plan:</w:t>
      </w:r>
    </w:p>
    <w:p w14:paraId="11C87CC0" w14:textId="77777777" w:rsidR="00D84031" w:rsidRDefault="007965BB" w:rsidP="00C62CF4">
      <w:pPr>
        <w:pStyle w:val="ListParagraph"/>
        <w:numPr>
          <w:ilvl w:val="0"/>
          <w:numId w:val="32"/>
        </w:numPr>
      </w:pPr>
      <w:r>
        <w:rPr>
          <w:color w:val="000000"/>
        </w:rPr>
        <w:t xml:space="preserve">The full potential of cultural heritage, arts and cultural and creative industries and sectors as drivers of both sustainable innovation and a European sense of belonging is realised through a continuous engagement with society, citizens and economic sectors.  </w:t>
      </w:r>
    </w:p>
    <w:p w14:paraId="536699C1" w14:textId="77777777" w:rsidR="00D84031" w:rsidRDefault="007965BB">
      <w:r>
        <w:rPr>
          <w:color w:val="000000"/>
        </w:rPr>
        <w:t>Legal entities established in China are not eligible to participate in Innovation Actions in any capacity. Please refer to the Annex B of the General Annexes of this Work Programme for further details.</w:t>
      </w:r>
    </w:p>
    <w:p w14:paraId="2225704F" w14:textId="77777777" w:rsidR="00D84031" w:rsidRDefault="007965BB">
      <w:pPr>
        <w:pStyle w:val="HeadingThree"/>
      </w:pPr>
      <w:r>
        <w:t>EUROPE’S SUSTAINABLE PROSPERITY AND COMPETITIVENESS</w:t>
      </w:r>
    </w:p>
    <w:p w14:paraId="11524F75" w14:textId="77777777" w:rsidR="00D84031" w:rsidRDefault="007965BB">
      <w:r>
        <w:t>Proposals are invited against the following topic(s):</w:t>
      </w:r>
    </w:p>
    <w:p w14:paraId="1DBEFD4B" w14:textId="77777777" w:rsidR="00D84031" w:rsidRDefault="007965BB">
      <w:pPr>
        <w:pStyle w:val="HeadingThree"/>
      </w:pPr>
      <w:r>
        <w:t>HORIZON-CL2-2026-01-HERITAGE-01: “Artistic intelligence” : harnessing the power of the arts to address complex challenges, enhance soft skills and boost innovation and competitiveness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C62CF4" w14:paraId="486CD53B" w14:textId="77777777" w:rsidTr="00C62CF4">
        <w:tc>
          <w:tcPr>
            <w:tcW w:w="0" w:type="auto"/>
            <w:gridSpan w:val="2"/>
          </w:tcPr>
          <w:p w14:paraId="4307EC28" w14:textId="77777777" w:rsidR="00D84031" w:rsidRDefault="007965BB">
            <w:pPr>
              <w:pStyle w:val="CellTextValue"/>
            </w:pPr>
            <w:r>
              <w:rPr>
                <w:b/>
              </w:rPr>
              <w:t>Call: Culture, Creativity and Inclusive Society 2026</w:t>
            </w:r>
          </w:p>
        </w:tc>
      </w:tr>
      <w:tr w:rsidR="00C62CF4" w14:paraId="3686AC42" w14:textId="77777777" w:rsidTr="00C62CF4">
        <w:tc>
          <w:tcPr>
            <w:tcW w:w="0" w:type="auto"/>
            <w:gridSpan w:val="2"/>
          </w:tcPr>
          <w:p w14:paraId="123D1619" w14:textId="77777777" w:rsidR="00D84031" w:rsidRDefault="007965BB">
            <w:pPr>
              <w:pStyle w:val="CellTextValue"/>
            </w:pPr>
            <w:r>
              <w:rPr>
                <w:b/>
              </w:rPr>
              <w:t>Specific conditions</w:t>
            </w:r>
          </w:p>
        </w:tc>
      </w:tr>
      <w:tr w:rsidR="00D84031" w14:paraId="37449C0A" w14:textId="77777777">
        <w:tc>
          <w:tcPr>
            <w:tcW w:w="0" w:type="auto"/>
          </w:tcPr>
          <w:p w14:paraId="678B414E" w14:textId="77777777" w:rsidR="00D84031" w:rsidRDefault="007965BB">
            <w:pPr>
              <w:pStyle w:val="CellTextValue"/>
              <w:jc w:val="left"/>
            </w:pPr>
            <w:r>
              <w:rPr>
                <w:i/>
              </w:rPr>
              <w:t>Expected EU contribution per project</w:t>
            </w:r>
          </w:p>
        </w:tc>
        <w:tc>
          <w:tcPr>
            <w:tcW w:w="0" w:type="auto"/>
          </w:tcPr>
          <w:p w14:paraId="64554BAA" w14:textId="77777777" w:rsidR="00D84031" w:rsidRDefault="007965BB">
            <w:pPr>
              <w:pStyle w:val="CellTextValue"/>
            </w:pPr>
            <w:r>
              <w:t xml:space="preserve">The </w:t>
            </w:r>
            <w:r>
              <w:t>Commission estimates that an EU contribution of between EUR 4.50 and 5.00 million would allow these outcomes to be addressed appropriately. Nonetheless, this does not preclude submission and selection of a proposal requesting different amounts.</w:t>
            </w:r>
          </w:p>
        </w:tc>
      </w:tr>
      <w:tr w:rsidR="00D84031" w14:paraId="1CB61A24" w14:textId="77777777">
        <w:tc>
          <w:tcPr>
            <w:tcW w:w="0" w:type="auto"/>
          </w:tcPr>
          <w:p w14:paraId="5E22F8F5" w14:textId="77777777" w:rsidR="00D84031" w:rsidRDefault="007965BB">
            <w:pPr>
              <w:pStyle w:val="CellTextValue"/>
              <w:jc w:val="left"/>
            </w:pPr>
            <w:r>
              <w:rPr>
                <w:i/>
              </w:rPr>
              <w:t>Indicative budget</w:t>
            </w:r>
          </w:p>
        </w:tc>
        <w:tc>
          <w:tcPr>
            <w:tcW w:w="0" w:type="auto"/>
          </w:tcPr>
          <w:p w14:paraId="7EB5BA39" w14:textId="77777777" w:rsidR="00D84031" w:rsidRDefault="007965BB">
            <w:pPr>
              <w:pStyle w:val="CellTextValue"/>
            </w:pPr>
            <w:r>
              <w:t>The total indicative budget for the topic is EUR 15.00 million.</w:t>
            </w:r>
          </w:p>
        </w:tc>
      </w:tr>
      <w:tr w:rsidR="00D84031" w14:paraId="4EE2106E" w14:textId="77777777">
        <w:tc>
          <w:tcPr>
            <w:tcW w:w="0" w:type="auto"/>
          </w:tcPr>
          <w:p w14:paraId="11158D41" w14:textId="77777777" w:rsidR="00D84031" w:rsidRDefault="007965BB">
            <w:pPr>
              <w:pStyle w:val="CellTextValue"/>
              <w:jc w:val="left"/>
            </w:pPr>
            <w:r>
              <w:rPr>
                <w:i/>
              </w:rPr>
              <w:t>Type of Action</w:t>
            </w:r>
          </w:p>
        </w:tc>
        <w:tc>
          <w:tcPr>
            <w:tcW w:w="0" w:type="auto"/>
          </w:tcPr>
          <w:p w14:paraId="02D8B69B" w14:textId="77777777" w:rsidR="00D84031" w:rsidRDefault="007965BB">
            <w:pPr>
              <w:pStyle w:val="CellTextValue"/>
            </w:pPr>
            <w:r>
              <w:rPr>
                <w:color w:val="000000"/>
              </w:rPr>
              <w:t>Research and Innovation Actions</w:t>
            </w:r>
          </w:p>
        </w:tc>
      </w:tr>
      <w:tr w:rsidR="00D84031" w14:paraId="6E2EDC88" w14:textId="77777777">
        <w:tc>
          <w:tcPr>
            <w:tcW w:w="0" w:type="auto"/>
          </w:tcPr>
          <w:p w14:paraId="519D27AD" w14:textId="77777777" w:rsidR="00D84031" w:rsidRDefault="007965BB">
            <w:pPr>
              <w:pStyle w:val="CellTextValue"/>
              <w:jc w:val="left"/>
            </w:pPr>
            <w:r>
              <w:rPr>
                <w:i/>
              </w:rPr>
              <w:t>Eligibility conditions</w:t>
            </w:r>
          </w:p>
        </w:tc>
        <w:tc>
          <w:tcPr>
            <w:tcW w:w="0" w:type="auto"/>
          </w:tcPr>
          <w:p w14:paraId="1507EEEB" w14:textId="77777777" w:rsidR="00D84031" w:rsidRDefault="007965BB">
            <w:pPr>
              <w:pStyle w:val="CellTextValue"/>
            </w:pPr>
            <w:r>
              <w:rPr>
                <w:color w:val="000000"/>
              </w:rPr>
              <w:t>The conditions are described in General Annex B. The following exceptions apply:</w:t>
            </w:r>
          </w:p>
          <w:p w14:paraId="6C656364" w14:textId="77777777" w:rsidR="00D84031" w:rsidRDefault="007965BB">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p w14:paraId="08A2F21C" w14:textId="77777777" w:rsidR="00D84031" w:rsidRDefault="007965BB">
            <w:pPr>
              <w:pStyle w:val="CellTextValue"/>
            </w:pPr>
            <w:r>
              <w:rPr>
                <w:color w:val="000000"/>
              </w:rPr>
              <w:t>Subject to restrictions for the protection of European communication networks.</w:t>
            </w:r>
          </w:p>
        </w:tc>
      </w:tr>
      <w:tr w:rsidR="00D84031" w14:paraId="3351AE00" w14:textId="77777777">
        <w:tc>
          <w:tcPr>
            <w:tcW w:w="0" w:type="auto"/>
          </w:tcPr>
          <w:p w14:paraId="16CF4EBC" w14:textId="77777777" w:rsidR="00D84031" w:rsidRDefault="007965BB">
            <w:pPr>
              <w:pStyle w:val="CellTextValue"/>
              <w:jc w:val="left"/>
            </w:pPr>
            <w:r>
              <w:rPr>
                <w:i/>
              </w:rPr>
              <w:t>Legal and financial set-up of the Grant Agreements</w:t>
            </w:r>
          </w:p>
        </w:tc>
        <w:tc>
          <w:tcPr>
            <w:tcW w:w="0" w:type="auto"/>
          </w:tcPr>
          <w:p w14:paraId="2A0C498E" w14:textId="77777777" w:rsidR="00D84031" w:rsidRDefault="007965BB">
            <w:pPr>
              <w:pStyle w:val="CellTextValue"/>
            </w:pPr>
            <w:r>
              <w:rPr>
                <w:color w:val="000000"/>
              </w:rPr>
              <w:t>The rules are described in General Annex G. The following exceptions apply:</w:t>
            </w:r>
          </w:p>
          <w:p w14:paraId="346E9C76"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w:t>
            </w:r>
            <w:r>
              <w:rPr>
                <w:color w:val="000000"/>
              </w:rPr>
              <w:lastRenderedPageBreak/>
              <w:t xml:space="preserve">Research and Innovation (2021-2027) – and in actions under the Research and Training Programme of the European Atomic Energy Community (2021-2025) </w:t>
            </w:r>
            <w:r>
              <w:rPr>
                <w:vertAlign w:val="superscript"/>
              </w:rPr>
              <w:footnoteReference w:id="73"/>
            </w:r>
            <w:r>
              <w:rPr>
                <w:color w:val="000000"/>
              </w:rPr>
              <w:t>.</w:t>
            </w:r>
          </w:p>
          <w:p w14:paraId="12752679" w14:textId="77777777" w:rsidR="00D84031" w:rsidRDefault="007965BB">
            <w:pPr>
              <w:pStyle w:val="CellTextValue"/>
            </w:pPr>
            <w:r>
              <w:rPr>
                <w:color w:val="000000"/>
              </w:rPr>
              <w:t>Beneficiaries may provide financial support to third parties. The support to third parties can only be provided in the form of grants. The maximum amount to be granted to each third party is EUR 60 000. However, if the objectives of the action would otherwise be impossible or overly difficult (and duly justified in the proposal) the maximum amount may be higher.</w:t>
            </w:r>
          </w:p>
        </w:tc>
      </w:tr>
    </w:tbl>
    <w:p w14:paraId="5F8CF8C2" w14:textId="77777777" w:rsidR="00D84031" w:rsidRDefault="00D84031">
      <w:pPr>
        <w:spacing w:after="0" w:line="150" w:lineRule="auto"/>
      </w:pPr>
    </w:p>
    <w:p w14:paraId="3E30249C" w14:textId="77777777" w:rsidR="00D84031" w:rsidRDefault="007965BB">
      <w:r>
        <w:rPr>
          <w:u w:val="single"/>
        </w:rPr>
        <w:t>Expected Outcome</w:t>
      </w:r>
      <w:r>
        <w:t xml:space="preserve">: </w:t>
      </w:r>
      <w:r>
        <w:rPr>
          <w:color w:val="000000"/>
        </w:rPr>
        <w:t xml:space="preserve">Proposals should contribute to the first two expected outcomes, and either the one listed under </w:t>
      </w:r>
      <w:r>
        <w:rPr>
          <w:color w:val="000000"/>
        </w:rPr>
        <w:t>Focus 1, or the one listed under Focus 2.</w:t>
      </w:r>
    </w:p>
    <w:p w14:paraId="57F9515B" w14:textId="77777777" w:rsidR="00D84031" w:rsidRDefault="007965BB" w:rsidP="00C62CF4">
      <w:pPr>
        <w:pStyle w:val="ListParagraph"/>
        <w:numPr>
          <w:ilvl w:val="0"/>
          <w:numId w:val="33"/>
        </w:numPr>
      </w:pPr>
      <w:r>
        <w:rPr>
          <w:color w:val="000000"/>
        </w:rPr>
        <w:t>The potential of art-science and/or technology collaborations to address societal challenges and drive innovation is better understood. Guidance, toolkits, and actionable methodologies are developed to promote these collaborations, providing policymakers, professionals, and training organisations with clarity on intervention scope, applicability across various fields, and evaluation methods, metrics, or tools.</w:t>
      </w:r>
    </w:p>
    <w:p w14:paraId="12B3045A" w14:textId="77777777" w:rsidR="00D84031" w:rsidRDefault="007965BB" w:rsidP="00C62CF4">
      <w:pPr>
        <w:pStyle w:val="ListParagraph"/>
        <w:numPr>
          <w:ilvl w:val="0"/>
          <w:numId w:val="33"/>
        </w:numPr>
      </w:pPr>
      <w:r>
        <w:rPr>
          <w:color w:val="000000"/>
        </w:rPr>
        <w:t xml:space="preserve">New and existing national, European or international networks for art-science-technology collaborations are established or strengthened, expanding opportunities for artists to engage with science and technology. </w:t>
      </w:r>
    </w:p>
    <w:p w14:paraId="78BAA092" w14:textId="77777777" w:rsidR="00D84031" w:rsidRDefault="007965BB">
      <w:r>
        <w:rPr>
          <w:b/>
          <w:color w:val="000000"/>
        </w:rPr>
        <w:t>Focus 1</w:t>
      </w:r>
    </w:p>
    <w:p w14:paraId="2AAF03DE" w14:textId="77777777" w:rsidR="00D84031" w:rsidRDefault="007965BB">
      <w:r>
        <w:rPr>
          <w:color w:val="000000"/>
        </w:rPr>
        <w:t>Approaches, methodologies and model interventions for integrating arts and creative practices to enhance soft skills across public and private sectors are developed, tested and disseminated.</w:t>
      </w:r>
    </w:p>
    <w:p w14:paraId="173414D2" w14:textId="77777777" w:rsidR="00D84031" w:rsidRDefault="007965BB">
      <w:r>
        <w:rPr>
          <w:b/>
          <w:color w:val="000000"/>
        </w:rPr>
        <w:t>Focus 2</w:t>
      </w:r>
    </w:p>
    <w:p w14:paraId="440F8678" w14:textId="77777777" w:rsidR="00D84031" w:rsidRDefault="007965BB">
      <w:r>
        <w:rPr>
          <w:color w:val="000000"/>
        </w:rPr>
        <w:t>The effectiveness of critical artists’ engagement in interdisciplinary teams is demonstrated alongside the assessment of the viability of research-intensive emerging technologies through at least three low technology readiness level (TRL) pilot demonstrators.</w:t>
      </w:r>
    </w:p>
    <w:p w14:paraId="22A67CB1" w14:textId="77777777" w:rsidR="00D84031" w:rsidRDefault="007965BB">
      <w:r>
        <w:rPr>
          <w:u w:val="single"/>
        </w:rPr>
        <w:t>Scope</w:t>
      </w:r>
      <w:r>
        <w:t xml:space="preserve">: </w:t>
      </w:r>
      <w:r>
        <w:rPr>
          <w:color w:val="000000"/>
        </w:rPr>
        <w:t xml:space="preserve">Artistic research fosters inter-, multi-, and trans-disciplinary thinking, inspiring innovative problem-solving and offering new </w:t>
      </w:r>
      <w:r>
        <w:rPr>
          <w:color w:val="000000"/>
        </w:rPr>
        <w:t>avenues for innovation across policy areas, akin to scientific research. EU initiatives such as SciArt and S+T+ARTS show that art-science-technology collaborations enhance scientific and technological progress. Art acts as a catalyst for innovation, developing creative solutions to complex challenges and brings fresh perspectives to the scientific community. Artistic research is increasingly fostering mutual fertilization between the arts and academia. Collaboration with artists leads academics to adopt exp</w:t>
      </w:r>
      <w:r>
        <w:rPr>
          <w:color w:val="000000"/>
        </w:rPr>
        <w:t xml:space="preserve">erimental practices, while artists increasingly engage with theoretical aspects of </w:t>
      </w:r>
      <w:r>
        <w:rPr>
          <w:color w:val="000000"/>
        </w:rPr>
        <w:lastRenderedPageBreak/>
        <w:t>their practice. Closer collaboration between artists and companies in emerging technologies ensures that technological developments are guided by diverse, human-centred perspectives. Artistic research offers cross-disciplinary insights that challenge conventional thinking, spark innovation beyond technical efficiency, and address societal challenges holistically. Furthermore, artistic intelligence</w:t>
      </w:r>
      <w:r>
        <w:rPr>
          <w:vertAlign w:val="superscript"/>
        </w:rPr>
        <w:footnoteReference w:id="74"/>
      </w:r>
      <w:r>
        <w:rPr>
          <w:color w:val="000000"/>
        </w:rPr>
        <w:t xml:space="preserve"> makes complex concepts accessible and engages audiences emotionally and culturally. Artistic expression facilitates the adoption of innovative concepts and practices and catalyses social innovation, supporting sustainable and inclusive societal transformations and the cultural uptake of socio-scientific issues. Now is the time to consolidate understanding of the transformative potential of art-science-technology collaborations, distil it for application across policy areas and levels, and develop methods t</w:t>
      </w:r>
      <w:r>
        <w:rPr>
          <w:color w:val="000000"/>
        </w:rPr>
        <w:t>o evaluate their impact both quantitatively and qualitatively. Projects are expected to:</w:t>
      </w:r>
    </w:p>
    <w:p w14:paraId="680A56A2" w14:textId="77777777" w:rsidR="00D84031" w:rsidRDefault="007965BB" w:rsidP="00C62CF4">
      <w:pPr>
        <w:pStyle w:val="ListParagraph"/>
        <w:numPr>
          <w:ilvl w:val="0"/>
          <w:numId w:val="34"/>
        </w:numPr>
      </w:pPr>
      <w:r>
        <w:rPr>
          <w:color w:val="000000"/>
        </w:rPr>
        <w:t>Gather evidence on art-science-technology collaborations for addressing societal challenges and spurring innovation in science and technology.</w:t>
      </w:r>
    </w:p>
    <w:p w14:paraId="6FAA77DD" w14:textId="77777777" w:rsidR="00D84031" w:rsidRDefault="007965BB" w:rsidP="00C62CF4">
      <w:pPr>
        <w:pStyle w:val="ListParagraph"/>
        <w:numPr>
          <w:ilvl w:val="0"/>
          <w:numId w:val="34"/>
        </w:numPr>
      </w:pPr>
      <w:r>
        <w:rPr>
          <w:color w:val="000000"/>
        </w:rPr>
        <w:t>Collect case studies, produce and disseminate guidance, toolkits, and methodologies supporting policymakers in promoting these collaborations and strategies for cross-disciplinary innovation. Mechanisms, span of possible interventions, applicability to diverse fields and contexts will be clarified and exemplified.</w:t>
      </w:r>
    </w:p>
    <w:p w14:paraId="79C55284" w14:textId="77777777" w:rsidR="00D84031" w:rsidRDefault="007965BB" w:rsidP="00C62CF4">
      <w:pPr>
        <w:pStyle w:val="ListParagraph"/>
        <w:numPr>
          <w:ilvl w:val="0"/>
          <w:numId w:val="34"/>
        </w:numPr>
      </w:pPr>
      <w:r>
        <w:rPr>
          <w:color w:val="000000"/>
        </w:rPr>
        <w:t>Develop concrete use cases, such as (but not limited to): artists supporting ethical, inclusive, human-centred AI; addressing societal challenges and complex transformations through art-science-technology collaboration, advancing emotional storytelling, experiential art and public engagement through AI and real-time data; public sector roles in the art-science-technology uptake; role of artists in catalysing innovation in policymaking; participatory art-science-technology initiatives and citizen science.</w:t>
      </w:r>
    </w:p>
    <w:p w14:paraId="21FB8E43" w14:textId="77777777" w:rsidR="00D84031" w:rsidRDefault="007965BB" w:rsidP="00C62CF4">
      <w:pPr>
        <w:pStyle w:val="ListParagraph"/>
        <w:numPr>
          <w:ilvl w:val="0"/>
          <w:numId w:val="34"/>
        </w:numPr>
      </w:pPr>
      <w:r>
        <w:rPr>
          <w:color w:val="000000"/>
        </w:rPr>
        <w:t>Develop and test qualitative and quantitative methodologies and key performance indicators for evaluating such interventions, assessing their impacts, measuring their medium to long-term benefits and identifying what constitutes success.</w:t>
      </w:r>
    </w:p>
    <w:p w14:paraId="4A8D6101" w14:textId="77777777" w:rsidR="00D84031" w:rsidRDefault="007965BB" w:rsidP="00C62CF4">
      <w:pPr>
        <w:pStyle w:val="ListParagraph"/>
        <w:numPr>
          <w:ilvl w:val="0"/>
          <w:numId w:val="34"/>
        </w:numPr>
      </w:pPr>
      <w:r>
        <w:rPr>
          <w:color w:val="000000"/>
        </w:rPr>
        <w:t xml:space="preserve">Increase opportunities for artists to engage in art-science-technology collaborations, through network establishment or consolidation, interdisciplinary initiatives or other methods.  </w:t>
      </w:r>
    </w:p>
    <w:p w14:paraId="2CCF33D6" w14:textId="77777777" w:rsidR="00D84031" w:rsidRDefault="007965BB">
      <w:r>
        <w:rPr>
          <w:color w:val="000000"/>
        </w:rPr>
        <w:t>Project consortia should include artists and creatives/representatives of creative industries. Through leveraging creativity, projects should boost EU productivity and competitiveness while improving artists and creative professionals' employment conditions and preserving the autonomy and freedom essential to artistic practice and democratic society.</w:t>
      </w:r>
    </w:p>
    <w:p w14:paraId="240475BB" w14:textId="77777777" w:rsidR="00D84031" w:rsidRDefault="007965BB">
      <w:r>
        <w:rPr>
          <w:color w:val="000000"/>
        </w:rPr>
        <w:lastRenderedPageBreak/>
        <w:t>Financial support to third parties of up to EUR 60.000 in the form of grants may be considered, with the aim of actively engaging artists and creative professionals, for example through residencies, to facilitate development of solutions and innovative experimentations.</w:t>
      </w:r>
    </w:p>
    <w:p w14:paraId="5A254A5E" w14:textId="77777777" w:rsidR="00D84031" w:rsidRDefault="007965BB">
      <w:r>
        <w:rPr>
          <w:color w:val="000000"/>
        </w:rPr>
        <w:t>In addition to the main focus area, proposals should choose between the following two focuses:</w:t>
      </w:r>
    </w:p>
    <w:p w14:paraId="63A2E445" w14:textId="77777777" w:rsidR="00D84031" w:rsidRDefault="007965BB">
      <w:r>
        <w:rPr>
          <w:b/>
          <w:color w:val="000000"/>
        </w:rPr>
        <w:t>Focus 1.</w:t>
      </w:r>
      <w:r>
        <w:rPr>
          <w:color w:val="000000"/>
        </w:rPr>
        <w:t xml:space="preserve"> Enhancing soft skills through creativity and the arts</w:t>
      </w:r>
    </w:p>
    <w:p w14:paraId="7B1C0906" w14:textId="77777777" w:rsidR="00D84031" w:rsidRDefault="007965BB">
      <w:r>
        <w:rPr>
          <w:color w:val="000000"/>
        </w:rPr>
        <w:t>Policies and strategies for introducing creative thinking and cross- and transdisciplinary methods in education, research and the broader public and private sectors are needed. In the workforce, engaging with creative practices and the arts enhances soft skills -such as creativity, critical thinking, problem-solving, emotional intelligence - crucial for productivity and competitiveness in an increasingly automated world</w:t>
      </w:r>
      <w:r>
        <w:rPr>
          <w:vertAlign w:val="superscript"/>
        </w:rPr>
        <w:footnoteReference w:id="75"/>
      </w:r>
      <w:r>
        <w:rPr>
          <w:color w:val="000000"/>
          <w:vertAlign w:val="superscript"/>
        </w:rPr>
        <w:t xml:space="preserve"> </w:t>
      </w:r>
      <w:r>
        <w:rPr>
          <w:color w:val="000000"/>
        </w:rPr>
        <w:t>and to meet the demands of a changing market. Supporting research and innovation in this area will help individuals and institutions develop the skills and mindsets needed to thrive and increase creativity, productivity and well-being, including mental health, in a complex, interconnected society. Projects are expected to develop, experiment, and disseminate frameworks for using the arts and creative practices to strengthen soft skills in various public and private sectors, including education and lifelong</w:t>
      </w:r>
      <w:r>
        <w:rPr>
          <w:color w:val="000000"/>
        </w:rPr>
        <w:t xml:space="preserve"> learning, public administration and corporate environments, and showcase best practices. Proposals may choose their own areas of application.</w:t>
      </w:r>
    </w:p>
    <w:p w14:paraId="7D9322D6" w14:textId="77777777" w:rsidR="00D84031" w:rsidRDefault="007965BB">
      <w:r>
        <w:rPr>
          <w:b/>
          <w:color w:val="000000"/>
        </w:rPr>
        <w:t>Focus 2.</w:t>
      </w:r>
      <w:r>
        <w:rPr>
          <w:color w:val="000000"/>
        </w:rPr>
        <w:t xml:space="preserve"> Pilots on emerging technologies</w:t>
      </w:r>
    </w:p>
    <w:p w14:paraId="10AC6F18" w14:textId="77777777" w:rsidR="00D84031" w:rsidRDefault="007965BB">
      <w:r>
        <w:rPr>
          <w:color w:val="000000"/>
        </w:rPr>
        <w:t>Proposals should develop at least 3 small scale pilots on emerging technologies in interdisciplinary settings involving artists, to assess, demonstrate and streamline research-intensive technologies. Candidate technologies could include, among others, immersive arts, grid sensing networks, multisensuality, ubiquitous XR, spatial computing, VLM/LLM and historical data, crowd digitization or virtual reality. Pilots should demonstrate the effectiveness of artists’ engagement.</w:t>
      </w:r>
    </w:p>
    <w:p w14:paraId="422EAF3B" w14:textId="77777777" w:rsidR="00D84031" w:rsidRDefault="007965BB">
      <w:r>
        <w:rPr>
          <w:color w:val="000000"/>
        </w:rPr>
        <w:t>Proposals should clearly indicate the focus they have selected.</w:t>
      </w:r>
    </w:p>
    <w:p w14:paraId="1405372A" w14:textId="77777777" w:rsidR="00D84031" w:rsidRDefault="007965BB">
      <w:r>
        <w:rPr>
          <w:color w:val="000000"/>
        </w:rPr>
        <w:t>Proposals should consider the involvement of the European Commission's Joint Research Centre (JRC) based on its experience, in particular with the SciArt programme, and with respect to the value it could bring in providing an effective interface between research activities and policymaking.</w:t>
      </w:r>
    </w:p>
    <w:p w14:paraId="2721F9BC" w14:textId="77777777" w:rsidR="00D84031" w:rsidRDefault="007965BB">
      <w:pPr>
        <w:pStyle w:val="HeadingThree"/>
      </w:pPr>
      <w:r>
        <w:t>HORIZON-CL2-2026-01-HERITAGE-02: Boosting creative startups for disruptive innovation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4AE5FC46" w14:textId="77777777" w:rsidTr="00C62CF4">
        <w:tc>
          <w:tcPr>
            <w:tcW w:w="0" w:type="auto"/>
            <w:gridSpan w:val="2"/>
          </w:tcPr>
          <w:p w14:paraId="5D7672F8" w14:textId="77777777" w:rsidR="00D84031" w:rsidRDefault="007965BB">
            <w:pPr>
              <w:pStyle w:val="CellTextValue"/>
            </w:pPr>
            <w:r>
              <w:rPr>
                <w:b/>
              </w:rPr>
              <w:t>Call: Culture, Creativity and Inclusive Society 2026</w:t>
            </w:r>
          </w:p>
        </w:tc>
      </w:tr>
      <w:tr w:rsidR="00C62CF4" w14:paraId="27B92BC2" w14:textId="77777777" w:rsidTr="00C62CF4">
        <w:tc>
          <w:tcPr>
            <w:tcW w:w="0" w:type="auto"/>
            <w:gridSpan w:val="2"/>
          </w:tcPr>
          <w:p w14:paraId="740BD52E" w14:textId="77777777" w:rsidR="00D84031" w:rsidRDefault="007965BB">
            <w:pPr>
              <w:pStyle w:val="CellTextValue"/>
            </w:pPr>
            <w:r>
              <w:rPr>
                <w:b/>
              </w:rPr>
              <w:t xml:space="preserve">Specific </w:t>
            </w:r>
            <w:r>
              <w:rPr>
                <w:b/>
              </w:rPr>
              <w:t>conditions</w:t>
            </w:r>
          </w:p>
        </w:tc>
      </w:tr>
      <w:tr w:rsidR="00D84031" w14:paraId="60A985E0" w14:textId="77777777">
        <w:tc>
          <w:tcPr>
            <w:tcW w:w="0" w:type="auto"/>
          </w:tcPr>
          <w:p w14:paraId="05D06D93" w14:textId="77777777" w:rsidR="00D84031" w:rsidRDefault="007965BB">
            <w:pPr>
              <w:pStyle w:val="CellTextValue"/>
              <w:jc w:val="left"/>
            </w:pPr>
            <w:r>
              <w:rPr>
                <w:i/>
              </w:rPr>
              <w:lastRenderedPageBreak/>
              <w:t>Expected EU contribution per project</w:t>
            </w:r>
          </w:p>
        </w:tc>
        <w:tc>
          <w:tcPr>
            <w:tcW w:w="0" w:type="auto"/>
          </w:tcPr>
          <w:p w14:paraId="28084771" w14:textId="77777777" w:rsidR="00D84031" w:rsidRDefault="007965BB">
            <w:pPr>
              <w:pStyle w:val="CellTextValue"/>
            </w:pPr>
            <w:r>
              <w:t>The Commission estimates that an EU contribution of between EUR 5.00 and 6.00 million would allow these outcomes to be addressed appropriately. Nonetheless, this does not preclude submission and selection of a proposal requesting different amounts.</w:t>
            </w:r>
          </w:p>
        </w:tc>
      </w:tr>
      <w:tr w:rsidR="00D84031" w14:paraId="6134A922" w14:textId="77777777">
        <w:tc>
          <w:tcPr>
            <w:tcW w:w="0" w:type="auto"/>
          </w:tcPr>
          <w:p w14:paraId="6281DBAF" w14:textId="77777777" w:rsidR="00D84031" w:rsidRDefault="007965BB">
            <w:pPr>
              <w:pStyle w:val="CellTextValue"/>
              <w:jc w:val="left"/>
            </w:pPr>
            <w:r>
              <w:rPr>
                <w:i/>
              </w:rPr>
              <w:t>Indicative budget</w:t>
            </w:r>
          </w:p>
        </w:tc>
        <w:tc>
          <w:tcPr>
            <w:tcW w:w="0" w:type="auto"/>
          </w:tcPr>
          <w:p w14:paraId="2AD5A556" w14:textId="77777777" w:rsidR="00D84031" w:rsidRDefault="007965BB">
            <w:pPr>
              <w:pStyle w:val="CellTextValue"/>
            </w:pPr>
            <w:r>
              <w:t>The total indicative budget for the topic is EUR 12.00 million.</w:t>
            </w:r>
          </w:p>
        </w:tc>
      </w:tr>
      <w:tr w:rsidR="00D84031" w14:paraId="01D75CA2" w14:textId="77777777">
        <w:tc>
          <w:tcPr>
            <w:tcW w:w="0" w:type="auto"/>
          </w:tcPr>
          <w:p w14:paraId="3C4975D6" w14:textId="77777777" w:rsidR="00D84031" w:rsidRDefault="007965BB">
            <w:pPr>
              <w:pStyle w:val="CellTextValue"/>
              <w:jc w:val="left"/>
            </w:pPr>
            <w:r>
              <w:rPr>
                <w:i/>
              </w:rPr>
              <w:t>Type of Action</w:t>
            </w:r>
          </w:p>
        </w:tc>
        <w:tc>
          <w:tcPr>
            <w:tcW w:w="0" w:type="auto"/>
          </w:tcPr>
          <w:p w14:paraId="693A6F93" w14:textId="77777777" w:rsidR="00D84031" w:rsidRDefault="007965BB">
            <w:pPr>
              <w:pStyle w:val="CellTextValue"/>
            </w:pPr>
            <w:r>
              <w:rPr>
                <w:color w:val="000000"/>
              </w:rPr>
              <w:t>Innovation Actions</w:t>
            </w:r>
          </w:p>
        </w:tc>
      </w:tr>
      <w:tr w:rsidR="00D84031" w14:paraId="25E2D381" w14:textId="77777777">
        <w:tc>
          <w:tcPr>
            <w:tcW w:w="0" w:type="auto"/>
          </w:tcPr>
          <w:p w14:paraId="3E095A7D" w14:textId="77777777" w:rsidR="00D84031" w:rsidRDefault="007965BB">
            <w:pPr>
              <w:pStyle w:val="CellTextValue"/>
              <w:jc w:val="left"/>
            </w:pPr>
            <w:r>
              <w:rPr>
                <w:i/>
              </w:rPr>
              <w:t>Procedure</w:t>
            </w:r>
          </w:p>
        </w:tc>
        <w:tc>
          <w:tcPr>
            <w:tcW w:w="0" w:type="auto"/>
          </w:tcPr>
          <w:p w14:paraId="07E14AA1" w14:textId="77777777" w:rsidR="00D84031" w:rsidRDefault="007965BB">
            <w:pPr>
              <w:pStyle w:val="CellTextValue"/>
            </w:pPr>
            <w:r>
              <w:rPr>
                <w:color w:val="000000"/>
              </w:rPr>
              <w:t>The procedure is described in General Annex F. The following exceptions apply:</w:t>
            </w:r>
          </w:p>
          <w:p w14:paraId="68F8A51A" w14:textId="77777777" w:rsidR="00D84031" w:rsidRDefault="007965BB">
            <w:pPr>
              <w:pStyle w:val="CellTextValue"/>
            </w:pPr>
            <w:r>
              <w:rPr>
                <w:color w:val="000000"/>
              </w:rPr>
              <w:t xml:space="preserve">To </w:t>
            </w:r>
            <w:r>
              <w:rPr>
                <w:color w:val="000000"/>
              </w:rPr>
              <w:t>ensure a balanced portfolio, grants will be awarded to applications not only in order of ranking but at least also to those that are the highest ranked within each of the two options provided in the scope (Option a and Option b), provided that the applications attain all thresholds.</w:t>
            </w:r>
          </w:p>
        </w:tc>
      </w:tr>
      <w:tr w:rsidR="00D84031" w14:paraId="300B9AB1" w14:textId="77777777">
        <w:tc>
          <w:tcPr>
            <w:tcW w:w="0" w:type="auto"/>
          </w:tcPr>
          <w:p w14:paraId="09D8B569" w14:textId="77777777" w:rsidR="00D84031" w:rsidRDefault="007965BB">
            <w:pPr>
              <w:pStyle w:val="CellTextValue"/>
              <w:jc w:val="left"/>
            </w:pPr>
            <w:r>
              <w:rPr>
                <w:i/>
              </w:rPr>
              <w:t>Legal and financial set-up of the Grant Agreements</w:t>
            </w:r>
          </w:p>
        </w:tc>
        <w:tc>
          <w:tcPr>
            <w:tcW w:w="0" w:type="auto"/>
          </w:tcPr>
          <w:p w14:paraId="59B443CD" w14:textId="77777777" w:rsidR="00D84031" w:rsidRDefault="007965BB">
            <w:pPr>
              <w:pStyle w:val="CellTextValue"/>
            </w:pPr>
            <w:r>
              <w:rPr>
                <w:color w:val="000000"/>
              </w:rPr>
              <w:t>The rules are described in General Annex G. The following exceptions apply:</w:t>
            </w:r>
          </w:p>
          <w:p w14:paraId="7399F453"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76"/>
            </w:r>
            <w:r>
              <w:rPr>
                <w:color w:val="000000"/>
              </w:rPr>
              <w:t>.</w:t>
            </w:r>
          </w:p>
          <w:p w14:paraId="743F00B8" w14:textId="77777777" w:rsidR="00D84031" w:rsidRDefault="007965BB">
            <w:pPr>
              <w:pStyle w:val="CellTextValue"/>
            </w:pPr>
            <w:r>
              <w:rPr>
                <w:color w:val="000000"/>
              </w:rPr>
              <w:t>Beneficiaries may provide financial support to third parties. The support to third parties can only be provided in the form of grants. The maximum amount to be granted to each third party is EUR 60 000. However, if the objectives of the action would otherwise be impossible or overly difficult (and duly justified in the proposal) the maximum amount may be higher.</w:t>
            </w:r>
          </w:p>
        </w:tc>
      </w:tr>
    </w:tbl>
    <w:p w14:paraId="483A37EA" w14:textId="77777777" w:rsidR="00D84031" w:rsidRDefault="00D84031">
      <w:pPr>
        <w:spacing w:after="0" w:line="150" w:lineRule="auto"/>
      </w:pPr>
    </w:p>
    <w:p w14:paraId="7C7FEE03" w14:textId="77777777" w:rsidR="00D84031" w:rsidRDefault="007965BB">
      <w:r>
        <w:rPr>
          <w:u w:val="single"/>
        </w:rPr>
        <w:t>Expected Outcome</w:t>
      </w:r>
      <w:r>
        <w:t xml:space="preserve">: </w:t>
      </w:r>
      <w:r>
        <w:rPr>
          <w:color w:val="000000"/>
        </w:rPr>
        <w:t>Projects should contribute to all of the following expected outcomes:</w:t>
      </w:r>
    </w:p>
    <w:p w14:paraId="52DAD968" w14:textId="77777777" w:rsidR="00D84031" w:rsidRDefault="007965BB" w:rsidP="00C62CF4">
      <w:pPr>
        <w:pStyle w:val="ListParagraph"/>
        <w:numPr>
          <w:ilvl w:val="0"/>
          <w:numId w:val="35"/>
        </w:numPr>
      </w:pPr>
      <w:r>
        <w:rPr>
          <w:color w:val="000000"/>
        </w:rPr>
        <w:t xml:space="preserve">Deepened knowledge of specific factors favouring the </w:t>
      </w:r>
      <w:r>
        <w:rPr>
          <w:color w:val="000000"/>
        </w:rPr>
        <w:t>growth of creative startups</w:t>
      </w:r>
      <w:r>
        <w:rPr>
          <w:vertAlign w:val="superscript"/>
        </w:rPr>
        <w:footnoteReference w:id="77"/>
      </w:r>
      <w:r>
        <w:rPr>
          <w:color w:val="000000"/>
        </w:rPr>
        <w:t>, in particular those with potential for disruptive innovation</w:t>
      </w:r>
      <w:r>
        <w:rPr>
          <w:vertAlign w:val="superscript"/>
        </w:rPr>
        <w:footnoteReference w:id="78"/>
      </w:r>
      <w:r>
        <w:rPr>
          <w:color w:val="000000"/>
        </w:rPr>
        <w:t xml:space="preserve"> and/or cross-sectorial </w:t>
      </w:r>
      <w:r>
        <w:rPr>
          <w:color w:val="000000"/>
        </w:rPr>
        <w:lastRenderedPageBreak/>
        <w:t>innovation impacts, is made available and promoted to policymakers, investors, funding- and enterprise support bodies.</w:t>
      </w:r>
    </w:p>
    <w:p w14:paraId="30D34F69" w14:textId="77777777" w:rsidR="00D84031" w:rsidRDefault="007965BB" w:rsidP="00C62CF4">
      <w:pPr>
        <w:pStyle w:val="ListParagraph"/>
        <w:numPr>
          <w:ilvl w:val="0"/>
          <w:numId w:val="35"/>
        </w:numPr>
      </w:pPr>
      <w:r>
        <w:rPr>
          <w:color w:val="000000"/>
        </w:rPr>
        <w:t>Effective methods to favour the growth of creative startups, in particular those with potential for disruptive innovation and/or cross-sectorial innovation impacts, are developed, tested and put in practice by industry, investors, funding- and enterprise support bodies, and relevant decision makers.</w:t>
      </w:r>
    </w:p>
    <w:p w14:paraId="359A46D0" w14:textId="77777777" w:rsidR="00D84031" w:rsidRDefault="007965BB" w:rsidP="00C62CF4">
      <w:pPr>
        <w:pStyle w:val="ListParagraph"/>
        <w:numPr>
          <w:ilvl w:val="0"/>
          <w:numId w:val="35"/>
        </w:numPr>
      </w:pPr>
      <w:r>
        <w:rPr>
          <w:color w:val="000000"/>
        </w:rPr>
        <w:t xml:space="preserve">Examples of creative startups scaling up and/or engaging in disruptive innovation are made available, with a view to increase the visibility and recognition of the innovative power of Europe’s creative startups.  </w:t>
      </w:r>
    </w:p>
    <w:p w14:paraId="7A9B60F7" w14:textId="77777777" w:rsidR="00D84031" w:rsidRDefault="007965BB">
      <w:r>
        <w:rPr>
          <w:color w:val="000000"/>
        </w:rPr>
        <w:t>In addition, proposals should contribute to at least one of the following expected outcomes, depending on the option chosen (a or b below):</w:t>
      </w:r>
    </w:p>
    <w:p w14:paraId="35E3E7E8" w14:textId="77777777" w:rsidR="00D84031" w:rsidRDefault="007965BB" w:rsidP="00C62CF4">
      <w:pPr>
        <w:pStyle w:val="ListParagraph"/>
        <w:numPr>
          <w:ilvl w:val="0"/>
          <w:numId w:val="36"/>
        </w:numPr>
      </w:pPr>
      <w:r>
        <w:rPr>
          <w:color w:val="000000"/>
        </w:rPr>
        <w:t>The effectiveness of the methods developed is demonstrated by at least one creative startup supported via the action becoming a scaleup</w:t>
      </w:r>
      <w:r>
        <w:rPr>
          <w:vertAlign w:val="superscript"/>
        </w:rPr>
        <w:footnoteReference w:id="79"/>
      </w:r>
      <w:r>
        <w:rPr>
          <w:color w:val="000000"/>
        </w:rPr>
        <w:t xml:space="preserve"> in a Member State or an Associated Country.</w:t>
      </w:r>
    </w:p>
    <w:p w14:paraId="034472A5" w14:textId="77777777" w:rsidR="00D84031" w:rsidRDefault="007965BB" w:rsidP="00C62CF4">
      <w:pPr>
        <w:pStyle w:val="ListParagraph"/>
        <w:numPr>
          <w:ilvl w:val="0"/>
          <w:numId w:val="36"/>
        </w:numPr>
      </w:pPr>
      <w:r>
        <w:rPr>
          <w:color w:val="000000"/>
        </w:rPr>
        <w:t xml:space="preserve">The effectiveness of the methods developed is demonstrated by at least one creative startup or scaleup supported via the action succeeding in bringing a disruptive innovation to the market.  </w:t>
      </w:r>
    </w:p>
    <w:p w14:paraId="73EEE2BA" w14:textId="77777777" w:rsidR="00D84031" w:rsidRDefault="007965BB">
      <w:r>
        <w:rPr>
          <w:u w:val="single"/>
        </w:rPr>
        <w:t>Scope</w:t>
      </w:r>
      <w:r>
        <w:t xml:space="preserve">: </w:t>
      </w:r>
      <w:r>
        <w:rPr>
          <w:color w:val="000000"/>
        </w:rPr>
        <w:t>The cultural and creative industries (CCIs) count a high rate of startups. Data indicate that CCIs are among the early adopters of new technologies, especially in the digital realm. For instance, the European Monitor of Industrial Ecosystems (2024)</w:t>
      </w:r>
      <w:r>
        <w:rPr>
          <w:vertAlign w:val="superscript"/>
        </w:rPr>
        <w:footnoteReference w:id="80"/>
      </w:r>
      <w:r>
        <w:rPr>
          <w:color w:val="000000"/>
        </w:rPr>
        <w:t xml:space="preserve"> notes that artificial intelligence-based technology startups were most common among the CCIs and in the health sector. Furthermore, creative startups drive innovation through crossovers with other sectors. They can be a motor of growth in local economies, unlocking opportunities, investment, jobs and higher productivity. That is why a host of initiatives like creative clusters, innovation hubs, smart specialisation strategies, innovation ecosystems, etc. foster the emergence of creative startups. Also at E</w:t>
      </w:r>
      <w:r>
        <w:rPr>
          <w:color w:val="000000"/>
        </w:rPr>
        <w:t>U level, there are a number of initiatives to support startups and/or cultural and creative industries</w:t>
      </w:r>
      <w:r>
        <w:rPr>
          <w:vertAlign w:val="superscript"/>
        </w:rPr>
        <w:footnoteReference w:id="81"/>
      </w:r>
      <w:r>
        <w:rPr>
          <w:color w:val="000000"/>
        </w:rPr>
        <w:t>, and there is a clearly stated ambition to make EU the preferred choice for startups and scaleups, as expressed in the EU Startup and Scaleup Strategy</w:t>
      </w:r>
      <w:r>
        <w:rPr>
          <w:vertAlign w:val="superscript"/>
        </w:rPr>
        <w:footnoteReference w:id="82"/>
      </w:r>
      <w:r>
        <w:rPr>
          <w:color w:val="000000"/>
        </w:rPr>
        <w:t>.</w:t>
      </w:r>
    </w:p>
    <w:p w14:paraId="2E7D0205" w14:textId="77777777" w:rsidR="00D84031" w:rsidRDefault="007965BB">
      <w:r>
        <w:rPr>
          <w:color w:val="000000"/>
        </w:rPr>
        <w:lastRenderedPageBreak/>
        <w:t>However, in order to better support European creative startups to grow into scaleups and to multiply their potential as high-impact disruptive innovators, in line with the EU Startup and Scaleup Strategy, additional measures are needed.</w:t>
      </w:r>
    </w:p>
    <w:p w14:paraId="0CC33B62" w14:textId="77777777" w:rsidR="00D84031" w:rsidRDefault="007965BB">
      <w:r>
        <w:rPr>
          <w:color w:val="000000"/>
        </w:rPr>
        <w:t>The challenge is to deepen the knowledge of the most important factors that favour the scaling up of creative startups in Europe and unleashing their potential for disruptive innovation, with a particular focus on those factors that distinguish them from startups in other sectors.</w:t>
      </w:r>
    </w:p>
    <w:p w14:paraId="38C9CF9B" w14:textId="77777777" w:rsidR="00D84031" w:rsidRDefault="007965BB">
      <w:r>
        <w:rPr>
          <w:color w:val="000000"/>
        </w:rPr>
        <w:t>Proposals are expected to focus either on:</w:t>
      </w:r>
    </w:p>
    <w:p w14:paraId="312E3F35" w14:textId="77777777" w:rsidR="00D84031" w:rsidRDefault="007965BB">
      <w:r>
        <w:rPr>
          <w:b/>
          <w:color w:val="000000"/>
        </w:rPr>
        <w:t>Option a</w:t>
      </w:r>
      <w:r>
        <w:rPr>
          <w:color w:val="000000"/>
        </w:rPr>
        <w:t>: Boosting the growth of creative startups into scaleups.</w:t>
      </w:r>
    </w:p>
    <w:p w14:paraId="563B9C2F" w14:textId="77777777" w:rsidR="00D84031" w:rsidRDefault="007965BB">
      <w:r>
        <w:rPr>
          <w:b/>
          <w:color w:val="000000"/>
        </w:rPr>
        <w:t>Option b</w:t>
      </w:r>
      <w:r>
        <w:rPr>
          <w:color w:val="000000"/>
        </w:rPr>
        <w:t>: Boosting creative startups or scaleups with a potential for disruptive innovation.</w:t>
      </w:r>
    </w:p>
    <w:p w14:paraId="47E39F4D" w14:textId="77777777" w:rsidR="00D84031" w:rsidRDefault="007965BB">
      <w:r>
        <w:rPr>
          <w:color w:val="000000"/>
        </w:rPr>
        <w:t>Proposals should clearly indicate the option they have selected.</w:t>
      </w:r>
    </w:p>
    <w:p w14:paraId="026319DA" w14:textId="77777777" w:rsidR="00D84031" w:rsidRDefault="007965BB">
      <w:r>
        <w:rPr>
          <w:color w:val="000000"/>
        </w:rPr>
        <w:t>Approaches should be devised that boost the growth of creative startups in Europe and/or encourage engaging in disruptive innovation. Approaches developed may build on existing methods, such as shared technological resources/platforms to lower investments needs, credible assessments of technologies, IPR or of creative companies to increase investor readiness, matchmaking platforms, etc. However, the approaches to be developed under this action should be innovative and go beyond the existing ones. They shoul</w:t>
      </w:r>
      <w:r>
        <w:rPr>
          <w:color w:val="000000"/>
        </w:rPr>
        <w:t>d be effective and feasible across Europe under the current legal framework.</w:t>
      </w:r>
    </w:p>
    <w:p w14:paraId="2EE3819C" w14:textId="77777777" w:rsidR="00D84031" w:rsidRDefault="007965BB">
      <w:r>
        <w:rPr>
          <w:color w:val="000000"/>
        </w:rPr>
        <w:t>In order to validate and refine the proposed approaches, projects should carry out at least 3 pilot trials in different settings under real-world like conditions. These should involve piloting the scaling-up of a creative startup or positioning a creative startup/scaleup for bringing disruptive innovation to the market, according to the option chosen (a or b above). Financial support to third parties of up to EUR 60.000 in the form of grants may be considered, with the aim of engaging diverse innovative cre</w:t>
      </w:r>
      <w:r>
        <w:rPr>
          <w:color w:val="000000"/>
        </w:rPr>
        <w:t>ative startups, facilitating the uptake of solutions devised by the project, experimenting with innovative approaches, or engaging other funders in co-financing.</w:t>
      </w:r>
    </w:p>
    <w:p w14:paraId="68F0071A" w14:textId="77777777" w:rsidR="00D84031" w:rsidRDefault="007965BB">
      <w:r>
        <w:rPr>
          <w:color w:val="000000"/>
        </w:rPr>
        <w:t>To the extent appropriate, projects should build on and take advantage of previous research, networks, policy initiatives and infrastructure at European and national levels. This may include building on results of or structures developed by R&amp;I projects funded under Horizon Europe</w:t>
      </w:r>
      <w:r>
        <w:rPr>
          <w:vertAlign w:val="superscript"/>
        </w:rPr>
        <w:footnoteReference w:id="83"/>
      </w:r>
      <w:r>
        <w:rPr>
          <w:color w:val="000000"/>
        </w:rPr>
        <w:t xml:space="preserve"> or other EU funding programmes that focus on boosting the innovation potential of CCIs, the EIT Knowledge and Innovation Community ‘EIT Culture and Creativity’</w:t>
      </w:r>
      <w:r>
        <w:rPr>
          <w:vertAlign w:val="superscript"/>
        </w:rPr>
        <w:footnoteReference w:id="84"/>
      </w:r>
      <w:r>
        <w:rPr>
          <w:color w:val="000000"/>
        </w:rPr>
        <w:t>, or other relevant projects and networks. Such existing networks and infrastructures may also include business incubators or accelerators, venture capital networks</w:t>
      </w:r>
      <w:r>
        <w:rPr>
          <w:vertAlign w:val="superscript"/>
        </w:rPr>
        <w:footnoteReference w:id="85"/>
      </w:r>
      <w:r>
        <w:rPr>
          <w:color w:val="000000"/>
        </w:rPr>
        <w:t>, etc.</w:t>
      </w:r>
    </w:p>
    <w:p w14:paraId="5B4D6196" w14:textId="77777777" w:rsidR="00D84031" w:rsidRDefault="007965BB">
      <w:r>
        <w:rPr>
          <w:color w:val="000000"/>
        </w:rPr>
        <w:t>To the extent appropriate, the Commission expects projects funded under this topic to establish coordination mechanisms in order to achieve the strongest possible common impact. One such area of cooperation could be communication and dissemination efforts.</w:t>
      </w:r>
    </w:p>
    <w:p w14:paraId="42A59BF9" w14:textId="77777777" w:rsidR="00D84031" w:rsidRDefault="007965BB">
      <w:r>
        <w:rPr>
          <w:color w:val="000000"/>
        </w:rPr>
        <w:lastRenderedPageBreak/>
        <w:t>The Commission estimates that a project duration of at least 4 years is appropriate, in order to be able to achieve the expected outcomes.</w:t>
      </w:r>
    </w:p>
    <w:p w14:paraId="665D692F" w14:textId="77777777" w:rsidR="00D84031" w:rsidRDefault="007965BB">
      <w:pPr>
        <w:pStyle w:val="HeadingThree"/>
      </w:pPr>
      <w:r>
        <w:t>HORIZON-CL2-2026-01-HERITAGE-03: AI integration in CCSI work practice: catalysing innovation and competitiveness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C62CF4" w14:paraId="21509E7E" w14:textId="77777777" w:rsidTr="00C62CF4">
        <w:tc>
          <w:tcPr>
            <w:tcW w:w="0" w:type="auto"/>
            <w:gridSpan w:val="2"/>
          </w:tcPr>
          <w:p w14:paraId="28992617" w14:textId="77777777" w:rsidR="00D84031" w:rsidRDefault="007965BB">
            <w:pPr>
              <w:pStyle w:val="CellTextValue"/>
            </w:pPr>
            <w:r>
              <w:rPr>
                <w:b/>
              </w:rPr>
              <w:t>Call: Culture, Creativity and Inclusive Society 2026</w:t>
            </w:r>
          </w:p>
        </w:tc>
      </w:tr>
      <w:tr w:rsidR="00C62CF4" w14:paraId="53903F75" w14:textId="77777777" w:rsidTr="00C62CF4">
        <w:tc>
          <w:tcPr>
            <w:tcW w:w="0" w:type="auto"/>
            <w:gridSpan w:val="2"/>
          </w:tcPr>
          <w:p w14:paraId="2CDD096A" w14:textId="77777777" w:rsidR="00D84031" w:rsidRDefault="007965BB">
            <w:pPr>
              <w:pStyle w:val="CellTextValue"/>
            </w:pPr>
            <w:r>
              <w:rPr>
                <w:b/>
              </w:rPr>
              <w:t>Specific conditions</w:t>
            </w:r>
          </w:p>
        </w:tc>
      </w:tr>
      <w:tr w:rsidR="00D84031" w14:paraId="2772F493" w14:textId="77777777">
        <w:tc>
          <w:tcPr>
            <w:tcW w:w="0" w:type="auto"/>
          </w:tcPr>
          <w:p w14:paraId="5FDF5A2C" w14:textId="77777777" w:rsidR="00D84031" w:rsidRDefault="007965BB">
            <w:pPr>
              <w:pStyle w:val="CellTextValue"/>
              <w:jc w:val="left"/>
            </w:pPr>
            <w:r>
              <w:rPr>
                <w:i/>
              </w:rPr>
              <w:t>Expected EU contribution per project</w:t>
            </w:r>
          </w:p>
        </w:tc>
        <w:tc>
          <w:tcPr>
            <w:tcW w:w="0" w:type="auto"/>
          </w:tcPr>
          <w:p w14:paraId="16932EB1" w14:textId="77777777" w:rsidR="00D84031" w:rsidRDefault="007965BB">
            <w:pPr>
              <w:pStyle w:val="CellTextValue"/>
            </w:pPr>
            <w:r>
              <w:t>The Commission estimates that an EU contribution of between EUR 4.00 and 5.00 million would allow these outcomes to be addressed appropriately. Nonetheless, this does not preclude submission and selection of a proposal requesting different amounts.</w:t>
            </w:r>
          </w:p>
        </w:tc>
      </w:tr>
      <w:tr w:rsidR="00D84031" w14:paraId="2ED86F77" w14:textId="77777777">
        <w:tc>
          <w:tcPr>
            <w:tcW w:w="0" w:type="auto"/>
          </w:tcPr>
          <w:p w14:paraId="001D6EB1" w14:textId="77777777" w:rsidR="00D84031" w:rsidRDefault="007965BB">
            <w:pPr>
              <w:pStyle w:val="CellTextValue"/>
              <w:jc w:val="left"/>
            </w:pPr>
            <w:r>
              <w:rPr>
                <w:i/>
              </w:rPr>
              <w:t>Indicative budget</w:t>
            </w:r>
          </w:p>
        </w:tc>
        <w:tc>
          <w:tcPr>
            <w:tcW w:w="0" w:type="auto"/>
          </w:tcPr>
          <w:p w14:paraId="042C3420" w14:textId="77777777" w:rsidR="00D84031" w:rsidRDefault="007965BB">
            <w:pPr>
              <w:pStyle w:val="CellTextValue"/>
            </w:pPr>
            <w:r>
              <w:t>The total indicative budget for the topic is EUR 15.00 million.</w:t>
            </w:r>
          </w:p>
        </w:tc>
      </w:tr>
      <w:tr w:rsidR="00D84031" w14:paraId="749335C3" w14:textId="77777777">
        <w:tc>
          <w:tcPr>
            <w:tcW w:w="0" w:type="auto"/>
          </w:tcPr>
          <w:p w14:paraId="40390727" w14:textId="77777777" w:rsidR="00D84031" w:rsidRDefault="007965BB">
            <w:pPr>
              <w:pStyle w:val="CellTextValue"/>
              <w:jc w:val="left"/>
            </w:pPr>
            <w:r>
              <w:rPr>
                <w:i/>
              </w:rPr>
              <w:t>Type of Action</w:t>
            </w:r>
          </w:p>
        </w:tc>
        <w:tc>
          <w:tcPr>
            <w:tcW w:w="0" w:type="auto"/>
          </w:tcPr>
          <w:p w14:paraId="66D42B6F" w14:textId="77777777" w:rsidR="00D84031" w:rsidRDefault="007965BB">
            <w:pPr>
              <w:pStyle w:val="CellTextValue"/>
            </w:pPr>
            <w:r>
              <w:rPr>
                <w:color w:val="000000"/>
              </w:rPr>
              <w:t>Innovation Actions</w:t>
            </w:r>
          </w:p>
        </w:tc>
      </w:tr>
      <w:tr w:rsidR="00D84031" w14:paraId="05EC73E0" w14:textId="77777777">
        <w:tc>
          <w:tcPr>
            <w:tcW w:w="0" w:type="auto"/>
          </w:tcPr>
          <w:p w14:paraId="4E825E05" w14:textId="77777777" w:rsidR="00D84031" w:rsidRDefault="007965BB">
            <w:pPr>
              <w:pStyle w:val="CellTextValue"/>
              <w:jc w:val="left"/>
            </w:pPr>
            <w:r>
              <w:rPr>
                <w:i/>
              </w:rPr>
              <w:t xml:space="preserve">Eligibility </w:t>
            </w:r>
            <w:r>
              <w:rPr>
                <w:i/>
              </w:rPr>
              <w:t>conditions</w:t>
            </w:r>
          </w:p>
        </w:tc>
        <w:tc>
          <w:tcPr>
            <w:tcW w:w="0" w:type="auto"/>
          </w:tcPr>
          <w:p w14:paraId="7A5DBA1C" w14:textId="77777777" w:rsidR="00D84031" w:rsidRDefault="007965BB">
            <w:pPr>
              <w:pStyle w:val="CellTextValue"/>
            </w:pPr>
            <w:r>
              <w:rPr>
                <w:color w:val="000000"/>
              </w:rPr>
              <w:t>The conditions are described in General Annex B. The following exceptions apply:</w:t>
            </w:r>
          </w:p>
          <w:p w14:paraId="78B9AB45" w14:textId="77777777" w:rsidR="00D84031" w:rsidRDefault="007965BB">
            <w:pPr>
              <w:pStyle w:val="CellTextValue"/>
            </w:pPr>
            <w:r>
              <w:rPr>
                <w:color w:val="000000"/>
              </w:rPr>
              <w:t>Subject to restrictions for the protection of European communication networks.</w:t>
            </w:r>
          </w:p>
        </w:tc>
      </w:tr>
      <w:tr w:rsidR="00D84031" w14:paraId="61DE993F" w14:textId="77777777">
        <w:tc>
          <w:tcPr>
            <w:tcW w:w="0" w:type="auto"/>
          </w:tcPr>
          <w:p w14:paraId="5B260AF3" w14:textId="77777777" w:rsidR="00D84031" w:rsidRDefault="007965BB">
            <w:pPr>
              <w:pStyle w:val="CellTextValue"/>
              <w:jc w:val="left"/>
            </w:pPr>
            <w:r>
              <w:rPr>
                <w:i/>
              </w:rPr>
              <w:t>Legal and financial set-up of the Grant Agreements</w:t>
            </w:r>
          </w:p>
        </w:tc>
        <w:tc>
          <w:tcPr>
            <w:tcW w:w="0" w:type="auto"/>
          </w:tcPr>
          <w:p w14:paraId="5D7EFD6B" w14:textId="77777777" w:rsidR="00D84031" w:rsidRDefault="007965BB">
            <w:pPr>
              <w:pStyle w:val="CellTextValue"/>
            </w:pPr>
            <w:r>
              <w:rPr>
                <w:color w:val="000000"/>
              </w:rPr>
              <w:t>The rules are described in General Annex G. The following exceptions apply:</w:t>
            </w:r>
          </w:p>
          <w:p w14:paraId="6BCCD659"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86"/>
            </w:r>
            <w:r>
              <w:rPr>
                <w:color w:val="000000"/>
              </w:rPr>
              <w:t>.</w:t>
            </w:r>
          </w:p>
          <w:p w14:paraId="2C48046D" w14:textId="77777777" w:rsidR="00D84031" w:rsidRDefault="007965BB">
            <w:pPr>
              <w:pStyle w:val="CellTextValue"/>
            </w:pPr>
            <w:r>
              <w:rPr>
                <w:color w:val="000000"/>
              </w:rPr>
              <w:t>Beneficiaries may provide financial support to third parties. The support to third parties can only be provided in the form of grants. The maximum amount to be granted to each third party is EUR 60 000. However, if the objectives of the action would otherwise be impossible or overly difficult (and duly justified in the proposal) the maximum amount may be higher.</w:t>
            </w:r>
          </w:p>
        </w:tc>
      </w:tr>
    </w:tbl>
    <w:p w14:paraId="33A9E2F3" w14:textId="77777777" w:rsidR="00D84031" w:rsidRDefault="00D84031">
      <w:pPr>
        <w:spacing w:after="0" w:line="150" w:lineRule="auto"/>
      </w:pPr>
    </w:p>
    <w:p w14:paraId="17744EAF" w14:textId="77777777" w:rsidR="00D84031" w:rsidRDefault="007965BB">
      <w:r>
        <w:rPr>
          <w:u w:val="single"/>
        </w:rPr>
        <w:t>Expected Outcome</w:t>
      </w:r>
      <w:r>
        <w:t xml:space="preserve">: </w:t>
      </w:r>
      <w:r>
        <w:rPr>
          <w:color w:val="000000"/>
        </w:rPr>
        <w:t>Projects should contribute to all of the following expected outcomes:</w:t>
      </w:r>
    </w:p>
    <w:p w14:paraId="63FB5136" w14:textId="77777777" w:rsidR="00D84031" w:rsidRDefault="007965BB" w:rsidP="00C62CF4">
      <w:pPr>
        <w:pStyle w:val="ListParagraph"/>
        <w:numPr>
          <w:ilvl w:val="0"/>
          <w:numId w:val="37"/>
        </w:numPr>
      </w:pPr>
      <w:r>
        <w:rPr>
          <w:color w:val="000000"/>
        </w:rPr>
        <w:lastRenderedPageBreak/>
        <w:t>Insights, recommendations, strategies, guidelines, methods and tools supporting full AI integration in CCSI practices become available to CCSI, policymakers, and stakeholders.</w:t>
      </w:r>
    </w:p>
    <w:p w14:paraId="3B6762F4" w14:textId="77777777" w:rsidR="00D84031" w:rsidRDefault="007965BB" w:rsidP="00C62CF4">
      <w:pPr>
        <w:pStyle w:val="ListParagraph"/>
        <w:numPr>
          <w:ilvl w:val="0"/>
          <w:numId w:val="37"/>
        </w:numPr>
      </w:pPr>
      <w:r>
        <w:rPr>
          <w:color w:val="000000"/>
        </w:rPr>
        <w:t>Scenarios for co-created solutions tailored to CCSI needs, utilizing quality data and federated data sources, along with digital infrastructures, and inclusive cooperation processes, become available.</w:t>
      </w:r>
    </w:p>
    <w:p w14:paraId="084BF86B" w14:textId="77777777" w:rsidR="00D84031" w:rsidRDefault="007965BB" w:rsidP="00C62CF4">
      <w:pPr>
        <w:pStyle w:val="ListParagraph"/>
        <w:numPr>
          <w:ilvl w:val="0"/>
          <w:numId w:val="37"/>
        </w:numPr>
      </w:pPr>
      <w:r>
        <w:rPr>
          <w:color w:val="000000"/>
        </w:rPr>
        <w:t xml:space="preserve">Generally made available AI-powered and </w:t>
      </w:r>
      <w:r>
        <w:rPr>
          <w:color w:val="000000"/>
        </w:rPr>
        <w:t>ethically designed solutions, tools and services in several CCSI areas benefit creators, cultural professionals, and society, including persons with disabilities and other specific needs, fostering innovative creative expressions and improving creative business models while preserving and enhancing cultural diversity, and inclusion.</w:t>
      </w:r>
    </w:p>
    <w:p w14:paraId="6585E92D" w14:textId="77777777" w:rsidR="00D84031" w:rsidRDefault="007965BB" w:rsidP="00C62CF4">
      <w:pPr>
        <w:pStyle w:val="ListParagraph"/>
        <w:numPr>
          <w:ilvl w:val="0"/>
          <w:numId w:val="37"/>
        </w:numPr>
      </w:pPr>
      <w:r>
        <w:rPr>
          <w:color w:val="000000"/>
        </w:rPr>
        <w:t xml:space="preserve">By mastering ethical and inclusive AI, CCSI are empowered drivers of culture, innovation, competitiveness and societal wellbeing.  </w:t>
      </w:r>
    </w:p>
    <w:p w14:paraId="5D4F480D" w14:textId="77777777" w:rsidR="00D84031" w:rsidRDefault="007965BB">
      <w:r>
        <w:rPr>
          <w:u w:val="single"/>
        </w:rPr>
        <w:t>Scope</w:t>
      </w:r>
      <w:r>
        <w:t xml:space="preserve">: </w:t>
      </w:r>
      <w:r>
        <w:rPr>
          <w:color w:val="000000"/>
        </w:rPr>
        <w:t xml:space="preserve">AI technologies are transformative, providing unprecedented opportunities for human creativity, experimentations and co-creations. AI profoundly impacts cultural and creative sectors and industries, changing practices, facilitating new ways of working and making innovative services and products possible. Artists, industry players, and cultural organisations increasingly use AI, for assistance in content creation, production, and management, to predict trends, personalise market content, engage audiences, </w:t>
      </w:r>
      <w:r>
        <w:rPr>
          <w:color w:val="000000"/>
        </w:rPr>
        <w:t>enhance cultural heritage preservation and accessibility, and many more purposes.</w:t>
      </w:r>
    </w:p>
    <w:p w14:paraId="458BF95B" w14:textId="77777777" w:rsidR="00D84031" w:rsidRDefault="007965BB">
      <w:r>
        <w:rPr>
          <w:color w:val="000000"/>
        </w:rPr>
        <w:t>Cultural and creative sectors and industries (CCSI)</w:t>
      </w:r>
      <w:r>
        <w:rPr>
          <w:vertAlign w:val="superscript"/>
        </w:rPr>
        <w:footnoteReference w:id="87"/>
      </w:r>
      <w:r>
        <w:rPr>
          <w:color w:val="000000"/>
        </w:rPr>
        <w:t xml:space="preserve"> need to fully harness AI's potential to maintain relevance, expand their impact and value, increase competitiveness, and keep their vibrant, inclusive nature. Embracing and co-creating ethical AI solutions tailored to CCSI needs will, among other benefits, enable the automation of low-creativity tasks, allowing to increase focus on high-value activities that enhance creativity and productivity, thus unlocking unprecedented possibilities. Production times and costs can be reduced, market reach expanded, pre</w:t>
      </w:r>
      <w:r>
        <w:rPr>
          <w:color w:val="000000"/>
        </w:rPr>
        <w:t>servation, interpretation and inclusive access to cultural heritage enhanced, and new job categories could emerge.</w:t>
      </w:r>
    </w:p>
    <w:p w14:paraId="25EA01B6" w14:textId="77777777" w:rsidR="00D84031" w:rsidRDefault="007965BB">
      <w:r>
        <w:rPr>
          <w:color w:val="000000"/>
        </w:rPr>
        <w:lastRenderedPageBreak/>
        <w:t>Although several initiatives are on the ground, a comprehensive understanding of enabling frameworks and factors and of what is still lacking in terms of data, standards, infrastructures, computing power, tools, knowledge and capacity for the CCSI to fully embrace the opportunities opened by AI is essential for effectively integrating AI technologies into CCSI practices and workflows. Proposals should assess the current level of AI readiness in the CCSI, investigate the specific barriers to AI adoption in t</w:t>
      </w:r>
      <w:r>
        <w:rPr>
          <w:color w:val="000000"/>
        </w:rPr>
        <w:t>he sectors, and highlight areas where AI can offer the most benefits. In continuous engagement with the sectors, based on the analysis of current practices and through concrete use cases, proposals should produce strategic guidance to extensively and seamlessly integrate AI into CCSI operations, enhancing efficiencies, averting risks, and facilitating cross-sector collaboration. Based on this analysis, they should develop a set of tailored tools designed to address the specific gaps and leverage the opportu</w:t>
      </w:r>
      <w:r>
        <w:rPr>
          <w:color w:val="000000"/>
        </w:rPr>
        <w:t>nities uncovered during the assessment. These tools should be strategically aligned with the sector's needs, ensuring they provide targeted solutions to enhance AI adoption and maximize its potential benefits. They should be scalable, affordable for smaller, less-resourced CCSI actors and accompanied by related documentation and training materials and documentation.</w:t>
      </w:r>
    </w:p>
    <w:p w14:paraId="1D505AF1" w14:textId="77777777" w:rsidR="00D84031" w:rsidRDefault="007965BB">
      <w:r>
        <w:rPr>
          <w:color w:val="000000"/>
        </w:rPr>
        <w:t>Proposals should address one of the following two options, and are allowed to address both:</w:t>
      </w:r>
    </w:p>
    <w:p w14:paraId="2EBD8F64" w14:textId="77777777" w:rsidR="00D84031" w:rsidRDefault="007965BB" w:rsidP="00C62CF4">
      <w:pPr>
        <w:pStyle w:val="ListParagraph"/>
        <w:numPr>
          <w:ilvl w:val="0"/>
          <w:numId w:val="38"/>
        </w:numPr>
      </w:pPr>
      <w:r>
        <w:rPr>
          <w:color w:val="000000"/>
        </w:rPr>
        <w:t>Develop scalable pilots for innovative AI-enabled products and services across diverse segments of sectoral value chains, in cooperation with CCSI. These pilots are expected to address identified gaps in CCSI operations and prioritise solutions that catalyse innovation in sectors whose business models are not yet taking full advantage of AI. Applicants should have flexibility to select their preferred application areas.</w:t>
      </w:r>
    </w:p>
    <w:p w14:paraId="3932BFE0" w14:textId="77777777" w:rsidR="00D84031" w:rsidRDefault="007965BB" w:rsidP="00C62CF4">
      <w:pPr>
        <w:pStyle w:val="ListParagraph"/>
        <w:numPr>
          <w:ilvl w:val="0"/>
          <w:numId w:val="38"/>
        </w:numPr>
      </w:pPr>
      <w:r>
        <w:rPr>
          <w:color w:val="000000"/>
        </w:rPr>
        <w:t xml:space="preserve">Design and pilot innovative, inclusive, ethically driven, transparent AI solutions to foster cultural and linguistic diversity, and enhance accessibility, with a focus on engaging underserved audiences, particularly youth, older people, persons with disabilities and individuals with special needs. Applicants should have the flexibility to select their preferred application areas.  </w:t>
      </w:r>
    </w:p>
    <w:p w14:paraId="6AF7D854" w14:textId="77777777" w:rsidR="00D84031" w:rsidRDefault="007965BB">
      <w:r>
        <w:rPr>
          <w:color w:val="000000"/>
        </w:rPr>
        <w:t>Pilots should aim at leveraging AI for facilitating new revenue streams for the CCSI, as well as sustainable business models, and will highlight marketable solutions.</w:t>
      </w:r>
    </w:p>
    <w:p w14:paraId="4132F432" w14:textId="77777777" w:rsidR="00D84031" w:rsidRDefault="007965BB">
      <w:r>
        <w:rPr>
          <w:color w:val="000000"/>
        </w:rPr>
        <w:t>Financial support to third parties of up to EUR 60.000 in the form of grants may be foreseen, with the aim of engaging entities external to the consortium in the development of pilots.</w:t>
      </w:r>
    </w:p>
    <w:p w14:paraId="5ACEE85F" w14:textId="77777777" w:rsidR="00D84031" w:rsidRDefault="007965BB">
      <w:r>
        <w:rPr>
          <w:color w:val="000000"/>
        </w:rPr>
        <w:t>Consortia should include representatives of the cultural and creative sectors and industries and technology developers.</w:t>
      </w:r>
    </w:p>
    <w:p w14:paraId="4EB565EB" w14:textId="77777777" w:rsidR="00D84031" w:rsidRDefault="007965BB">
      <w:r>
        <w:rPr>
          <w:color w:val="000000"/>
        </w:rPr>
        <w:t>Proposals should consider relevant policy initiatives, such as the AI Continent Action Plan</w:t>
      </w:r>
      <w:r>
        <w:rPr>
          <w:vertAlign w:val="superscript"/>
        </w:rPr>
        <w:footnoteReference w:id="88"/>
      </w:r>
      <w:r>
        <w:rPr>
          <w:color w:val="000000"/>
        </w:rPr>
        <w:t xml:space="preserve">, and build upon existing research and innovation outcomes, particularly insights and resources </w:t>
      </w:r>
      <w:r>
        <w:rPr>
          <w:color w:val="000000"/>
        </w:rPr>
        <w:lastRenderedPageBreak/>
        <w:t>from Horizon Europe-funded projects focused on digital transformation, innovation, or competitiveness in the CCSI, and science-technology-art collaboration, and will liaise with the EIT KIC Culture and Creativity. Whenever relevant, they might make use of existing facilities and platforms such as the European High-Performance-Computing network, the European Collaborative Cloud for Cultural Heritage (ECCCH), the E</w:t>
      </w:r>
      <w:r>
        <w:rPr>
          <w:color w:val="000000"/>
        </w:rPr>
        <w:t>uropean Data Space for Cultural Heritage, ALT EDIC and other data spaces, European Digital Innovation Hubs, AI Factories, and relevant research infrastructures.</w:t>
      </w:r>
    </w:p>
    <w:p w14:paraId="2013C74F" w14:textId="77777777" w:rsidR="00D84031" w:rsidRDefault="007965BB">
      <w:pPr>
        <w:pStyle w:val="HeadingThree"/>
      </w:pPr>
      <w:r>
        <w:t>HORIZON-CL2-2026-01-HERITAGE-04: Towards a fair and transparent market for cultural and creative content in the era of generative AI</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C62CF4" w14:paraId="61118471" w14:textId="77777777" w:rsidTr="00C62CF4">
        <w:tc>
          <w:tcPr>
            <w:tcW w:w="0" w:type="auto"/>
            <w:gridSpan w:val="2"/>
          </w:tcPr>
          <w:p w14:paraId="31D1DA7F" w14:textId="77777777" w:rsidR="00D84031" w:rsidRDefault="007965BB">
            <w:pPr>
              <w:pStyle w:val="CellTextValue"/>
            </w:pPr>
            <w:r>
              <w:rPr>
                <w:b/>
              </w:rPr>
              <w:t>Call: Culture, Creativity and Inclusive Society 2026</w:t>
            </w:r>
          </w:p>
        </w:tc>
      </w:tr>
      <w:tr w:rsidR="00C62CF4" w14:paraId="7B1DEA2B" w14:textId="77777777" w:rsidTr="00C62CF4">
        <w:tc>
          <w:tcPr>
            <w:tcW w:w="0" w:type="auto"/>
            <w:gridSpan w:val="2"/>
          </w:tcPr>
          <w:p w14:paraId="7812CBDF" w14:textId="77777777" w:rsidR="00D84031" w:rsidRDefault="007965BB">
            <w:pPr>
              <w:pStyle w:val="CellTextValue"/>
            </w:pPr>
            <w:r>
              <w:rPr>
                <w:b/>
              </w:rPr>
              <w:t>Specific conditions</w:t>
            </w:r>
          </w:p>
        </w:tc>
      </w:tr>
      <w:tr w:rsidR="00D84031" w14:paraId="26E6E985" w14:textId="77777777">
        <w:tc>
          <w:tcPr>
            <w:tcW w:w="0" w:type="auto"/>
          </w:tcPr>
          <w:p w14:paraId="45AD7459" w14:textId="77777777" w:rsidR="00D84031" w:rsidRDefault="007965BB">
            <w:pPr>
              <w:pStyle w:val="CellTextValue"/>
              <w:jc w:val="left"/>
            </w:pPr>
            <w:r>
              <w:rPr>
                <w:i/>
              </w:rPr>
              <w:t>Expected EU contribution per project</w:t>
            </w:r>
          </w:p>
        </w:tc>
        <w:tc>
          <w:tcPr>
            <w:tcW w:w="0" w:type="auto"/>
          </w:tcPr>
          <w:p w14:paraId="2A555692" w14:textId="77777777" w:rsidR="00D84031" w:rsidRDefault="007965BB">
            <w:pPr>
              <w:pStyle w:val="CellTextValue"/>
            </w:pPr>
            <w:r>
              <w:t xml:space="preserve">The Commission estimates that an EU contribution of between EUR 3.00 and 4.00 million would allow </w:t>
            </w:r>
            <w:r>
              <w:t>these outcomes to be addressed appropriately. Nonetheless, this does not preclude submission and selection of a proposal requesting different amounts.</w:t>
            </w:r>
          </w:p>
        </w:tc>
      </w:tr>
      <w:tr w:rsidR="00D84031" w14:paraId="1476A66E" w14:textId="77777777">
        <w:tc>
          <w:tcPr>
            <w:tcW w:w="0" w:type="auto"/>
          </w:tcPr>
          <w:p w14:paraId="03995BED" w14:textId="77777777" w:rsidR="00D84031" w:rsidRDefault="007965BB">
            <w:pPr>
              <w:pStyle w:val="CellTextValue"/>
              <w:jc w:val="left"/>
            </w:pPr>
            <w:r>
              <w:rPr>
                <w:i/>
              </w:rPr>
              <w:t>Indicative budget</w:t>
            </w:r>
          </w:p>
        </w:tc>
        <w:tc>
          <w:tcPr>
            <w:tcW w:w="0" w:type="auto"/>
          </w:tcPr>
          <w:p w14:paraId="2D6846F3" w14:textId="77777777" w:rsidR="00D84031" w:rsidRDefault="007965BB">
            <w:pPr>
              <w:pStyle w:val="CellTextValue"/>
            </w:pPr>
            <w:r>
              <w:t>The total indicative budget for the topic is EUR 12.00 million.</w:t>
            </w:r>
          </w:p>
        </w:tc>
      </w:tr>
      <w:tr w:rsidR="00D84031" w14:paraId="2BDF468E" w14:textId="77777777">
        <w:tc>
          <w:tcPr>
            <w:tcW w:w="0" w:type="auto"/>
          </w:tcPr>
          <w:p w14:paraId="26DB8EBF" w14:textId="77777777" w:rsidR="00D84031" w:rsidRDefault="007965BB">
            <w:pPr>
              <w:pStyle w:val="CellTextValue"/>
              <w:jc w:val="left"/>
            </w:pPr>
            <w:r>
              <w:rPr>
                <w:i/>
              </w:rPr>
              <w:t>Type of Action</w:t>
            </w:r>
          </w:p>
        </w:tc>
        <w:tc>
          <w:tcPr>
            <w:tcW w:w="0" w:type="auto"/>
          </w:tcPr>
          <w:p w14:paraId="5000057C" w14:textId="77777777" w:rsidR="00D84031" w:rsidRDefault="007965BB">
            <w:pPr>
              <w:pStyle w:val="CellTextValue"/>
            </w:pPr>
            <w:r>
              <w:rPr>
                <w:color w:val="000000"/>
              </w:rPr>
              <w:t>Research and Innovation Actions</w:t>
            </w:r>
          </w:p>
        </w:tc>
      </w:tr>
      <w:tr w:rsidR="00D84031" w14:paraId="4816ABDD" w14:textId="77777777">
        <w:tc>
          <w:tcPr>
            <w:tcW w:w="0" w:type="auto"/>
          </w:tcPr>
          <w:p w14:paraId="2FA28DA1" w14:textId="77777777" w:rsidR="00D84031" w:rsidRDefault="007965BB">
            <w:pPr>
              <w:pStyle w:val="CellTextValue"/>
              <w:jc w:val="left"/>
            </w:pPr>
            <w:r>
              <w:rPr>
                <w:i/>
              </w:rPr>
              <w:t>Eligibility conditions</w:t>
            </w:r>
          </w:p>
        </w:tc>
        <w:tc>
          <w:tcPr>
            <w:tcW w:w="0" w:type="auto"/>
          </w:tcPr>
          <w:p w14:paraId="0A201D60" w14:textId="77777777" w:rsidR="00D84031" w:rsidRDefault="007965BB">
            <w:pPr>
              <w:pStyle w:val="CellTextValue"/>
            </w:pPr>
            <w:r>
              <w:rPr>
                <w:color w:val="000000"/>
              </w:rPr>
              <w:t>The conditions are described in General Annex B. The following exceptions apply:</w:t>
            </w:r>
          </w:p>
          <w:p w14:paraId="0D13B515" w14:textId="77777777" w:rsidR="00D84031" w:rsidRDefault="007965BB">
            <w:pPr>
              <w:pStyle w:val="CellTextValue"/>
            </w:pPr>
            <w:r>
              <w:rPr>
                <w:color w:val="000000"/>
              </w:rPr>
              <w:t>Subject to restrictions for the protection of European communication networks.</w:t>
            </w:r>
          </w:p>
        </w:tc>
      </w:tr>
      <w:tr w:rsidR="00D84031" w14:paraId="0E905E32" w14:textId="77777777">
        <w:tc>
          <w:tcPr>
            <w:tcW w:w="0" w:type="auto"/>
          </w:tcPr>
          <w:p w14:paraId="28CC10D5" w14:textId="77777777" w:rsidR="00D84031" w:rsidRDefault="007965BB">
            <w:pPr>
              <w:pStyle w:val="CellTextValue"/>
              <w:jc w:val="left"/>
            </w:pPr>
            <w:r>
              <w:rPr>
                <w:i/>
              </w:rPr>
              <w:t>Legal and financial set-up of the Grant Agreements</w:t>
            </w:r>
          </w:p>
        </w:tc>
        <w:tc>
          <w:tcPr>
            <w:tcW w:w="0" w:type="auto"/>
          </w:tcPr>
          <w:p w14:paraId="37AE8329" w14:textId="77777777" w:rsidR="00D84031" w:rsidRDefault="007965BB">
            <w:pPr>
              <w:pStyle w:val="CellTextValue"/>
            </w:pPr>
            <w:r>
              <w:rPr>
                <w:color w:val="000000"/>
              </w:rPr>
              <w:t>The rules are described in General Annex G. The following exceptions apply:</w:t>
            </w:r>
          </w:p>
          <w:p w14:paraId="3CEA962F"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89"/>
            </w:r>
            <w:r>
              <w:rPr>
                <w:color w:val="000000"/>
              </w:rPr>
              <w:t>.</w:t>
            </w:r>
          </w:p>
        </w:tc>
      </w:tr>
    </w:tbl>
    <w:p w14:paraId="537A64D4" w14:textId="77777777" w:rsidR="00D84031" w:rsidRDefault="00D84031">
      <w:pPr>
        <w:spacing w:after="0" w:line="150" w:lineRule="auto"/>
      </w:pPr>
    </w:p>
    <w:p w14:paraId="197AE97E" w14:textId="77777777" w:rsidR="00D84031" w:rsidRDefault="007965BB">
      <w:r>
        <w:rPr>
          <w:u w:val="single"/>
        </w:rPr>
        <w:t>Expected Outcome</w:t>
      </w:r>
      <w:r>
        <w:t xml:space="preserve">: </w:t>
      </w:r>
      <w:r>
        <w:rPr>
          <w:color w:val="000000"/>
        </w:rPr>
        <w:t xml:space="preserve">Projects should contribute to all of the </w:t>
      </w:r>
      <w:r>
        <w:rPr>
          <w:color w:val="000000"/>
        </w:rPr>
        <w:t>following expected outcomes:</w:t>
      </w:r>
    </w:p>
    <w:p w14:paraId="1B5C3D66" w14:textId="77777777" w:rsidR="00D84031" w:rsidRDefault="007965BB" w:rsidP="00C62CF4">
      <w:pPr>
        <w:pStyle w:val="ListParagraph"/>
        <w:numPr>
          <w:ilvl w:val="0"/>
          <w:numId w:val="39"/>
        </w:numPr>
      </w:pPr>
      <w:r>
        <w:rPr>
          <w:color w:val="000000"/>
        </w:rPr>
        <w:lastRenderedPageBreak/>
        <w:t>An in-depth analysis of the socio-economic dimensions and impacts of generative AI on the cultural and creative sectors and related societal implications. Particular attention should be paid to rights and remuneration of creators, diversity of cultural expression, audience perception, consumption patterns, market dynamics, value chains, royalty allocation and the effectiveness of copyright infrastructure.</w:t>
      </w:r>
    </w:p>
    <w:p w14:paraId="3CAC357E" w14:textId="77777777" w:rsidR="00D84031" w:rsidRDefault="007965BB" w:rsidP="00C62CF4">
      <w:pPr>
        <w:pStyle w:val="ListParagraph"/>
        <w:numPr>
          <w:ilvl w:val="0"/>
          <w:numId w:val="39"/>
        </w:numPr>
      </w:pPr>
      <w:r>
        <w:rPr>
          <w:color w:val="000000"/>
        </w:rPr>
        <w:t>Scenarios, value chains, standards and robust, agile solutions to ensure transparency and trust in the generative AI supply chain are developed, aiming for a fair and transparent market for cultural and creative content. This includes: systems for content provenance detection of AI-generated and manipulated creative content; tools and infrastructure that reinforce rights management, creators’ consent, control, and fair compensation for the use of their works in AI training and generation; measures supportin</w:t>
      </w:r>
      <w:r>
        <w:rPr>
          <w:color w:val="000000"/>
        </w:rPr>
        <w:t xml:space="preserve">g the findability and discoverability of trustworthy cultural and creative content; mechanisms for the long-term preservation and stewardship of AI-generated creative works. </w:t>
      </w:r>
    </w:p>
    <w:p w14:paraId="358CE888" w14:textId="77777777" w:rsidR="00D84031" w:rsidRDefault="007965BB" w:rsidP="00C62CF4">
      <w:pPr>
        <w:pStyle w:val="ListParagraph"/>
        <w:numPr>
          <w:ilvl w:val="0"/>
          <w:numId w:val="39"/>
        </w:numPr>
      </w:pPr>
      <w:r>
        <w:rPr>
          <w:color w:val="000000"/>
        </w:rPr>
        <w:t xml:space="preserve">Adaptive policy frameworks, recommendations, and solutions that embed cultural and ethical considerations in AI development for/with CCSI. These should ensure a fair and ethical market for cultural and creative content, products and services. Concrete solutions to address identified challenges and ensure equitable and sustainable creative economies, including agile mechanisms to ensure equitable value distribution, are proposed. </w:t>
      </w:r>
    </w:p>
    <w:p w14:paraId="79C1875D" w14:textId="77777777" w:rsidR="00D84031" w:rsidRDefault="007965BB" w:rsidP="00C62CF4">
      <w:pPr>
        <w:pStyle w:val="ListParagraph"/>
        <w:numPr>
          <w:ilvl w:val="0"/>
          <w:numId w:val="39"/>
        </w:numPr>
      </w:pPr>
      <w:r>
        <w:rPr>
          <w:color w:val="000000"/>
        </w:rPr>
        <w:t xml:space="preserve">A systemic innovation framework for sustainable CCSI is developed and validated. It enables agile experimentation, design, and testing of future-proof business models, that support compliance with ethical standards, legal requirements, and resource-efficient practices adaptable to market and technological changes.  </w:t>
      </w:r>
    </w:p>
    <w:p w14:paraId="1072F273" w14:textId="77777777" w:rsidR="00D84031" w:rsidRDefault="007965BB">
      <w:r>
        <w:rPr>
          <w:u w:val="single"/>
        </w:rPr>
        <w:t>Scope</w:t>
      </w:r>
      <w:r>
        <w:t xml:space="preserve">: </w:t>
      </w:r>
      <w:r>
        <w:rPr>
          <w:color w:val="000000"/>
        </w:rPr>
        <w:t>The impact of generative AI on the CCSI and society is complex and multifaceted</w:t>
      </w:r>
      <w:r>
        <w:rPr>
          <w:vertAlign w:val="superscript"/>
        </w:rPr>
        <w:footnoteReference w:id="90"/>
      </w:r>
      <w:r>
        <w:rPr>
          <w:color w:val="000000"/>
        </w:rPr>
        <w:t xml:space="preserve">. While it offers new possibilities, it also raises concerns, </w:t>
      </w:r>
      <w:r>
        <w:rPr>
          <w:color w:val="000000"/>
        </w:rPr>
        <w:t>particularly regarding copyright, revenue models, employment patterns, and audience engagement.</w:t>
      </w:r>
      <w:r>
        <w:rPr>
          <w:color w:val="000000"/>
          <w:u w:val="single"/>
        </w:rPr>
        <w:t xml:space="preserve"> </w:t>
      </w:r>
      <w:r>
        <w:rPr>
          <w:color w:val="000000"/>
        </w:rPr>
        <w:t>Understanding these socio-economic impacts, including how AI shifts the way the arts and culture are understood, created, practiced, and learnt, is crucial.</w:t>
      </w:r>
    </w:p>
    <w:p w14:paraId="24CBDC67" w14:textId="77777777" w:rsidR="00D84031" w:rsidRDefault="007965BB">
      <w:r>
        <w:rPr>
          <w:color w:val="000000"/>
        </w:rPr>
        <w:t xml:space="preserve">Generative AI can produce outputs potentially competing with human-created content. AI can also facilitate the manipulation of creative works, potentially infringing copyright or misleading users. Increasing transparency of AI generated or manipulated content may help to distinguish between human-created and machine-generated content and inform new practices for content dissemination and consumption. </w:t>
      </w:r>
    </w:p>
    <w:p w14:paraId="3BD31EDB" w14:textId="77777777" w:rsidR="00D84031" w:rsidRDefault="007965BB">
      <w:r>
        <w:rPr>
          <w:color w:val="000000"/>
        </w:rPr>
        <w:t xml:space="preserve">Challenges related to the availability of quality data for AI applications and to the accuracy and reliability of cultural content should be investigated and addressed. In particular, the development of Generative AI technologies requires access to vast amounts of content that is often still protected by copyright. One of the challenges in this context is linked to the </w:t>
      </w:r>
      <w:r>
        <w:rPr>
          <w:color w:val="000000"/>
        </w:rPr>
        <w:lastRenderedPageBreak/>
        <w:t xml:space="preserve">difficulty to identify copyrighted works, rightsholders and information on how their works may be used. The purpose of the insights gained is to inform novel practices for managing AI-generated content in cultural and creative fields, including the preservation of valuable outputs, such as artworks created by using AI, and to inform the establishment of adequate policy and legal frameworks and infrastructures. </w:t>
      </w:r>
    </w:p>
    <w:p w14:paraId="2D537D51" w14:textId="77777777" w:rsidR="00D84031" w:rsidRDefault="007965BB">
      <w:r>
        <w:rPr>
          <w:color w:val="000000"/>
        </w:rPr>
        <w:t xml:space="preserve">Proposals should primarily address the following dimensions: </w:t>
      </w:r>
    </w:p>
    <w:p w14:paraId="76FB6A62" w14:textId="77777777" w:rsidR="00D84031" w:rsidRDefault="007965BB" w:rsidP="00C62CF4">
      <w:pPr>
        <w:pStyle w:val="ListParagraph"/>
        <w:numPr>
          <w:ilvl w:val="0"/>
          <w:numId w:val="40"/>
        </w:numPr>
      </w:pPr>
      <w:r>
        <w:rPr>
          <w:color w:val="000000"/>
        </w:rPr>
        <w:t>Investigate, including through scenario analysis, identify trends and estimate the economic and social implications and impact of AI-generated outputs on the creative content market and related services, and on different actors and sectors, with a special focus on creators’ rights, earnings, allocation of royalties, as well as on diversity, inclusion, consumption and user perception of cultural products and services.</w:t>
      </w:r>
    </w:p>
    <w:p w14:paraId="262D2944" w14:textId="77777777" w:rsidR="00D84031" w:rsidRDefault="007965BB" w:rsidP="00C62CF4">
      <w:pPr>
        <w:pStyle w:val="ListParagraph"/>
        <w:numPr>
          <w:ilvl w:val="0"/>
          <w:numId w:val="40"/>
        </w:numPr>
      </w:pPr>
      <w:r>
        <w:rPr>
          <w:color w:val="000000"/>
        </w:rPr>
        <w:t>Examine and propose policy and legal frameworks to ensure a sustainable and innovative creative sector in the age of AI.</w:t>
      </w:r>
    </w:p>
    <w:p w14:paraId="2D94CC54" w14:textId="77777777" w:rsidR="00D84031" w:rsidRDefault="007965BB" w:rsidP="00C62CF4">
      <w:pPr>
        <w:pStyle w:val="ListParagraph"/>
        <w:numPr>
          <w:ilvl w:val="0"/>
          <w:numId w:val="40"/>
        </w:numPr>
      </w:pPr>
      <w:r>
        <w:rPr>
          <w:color w:val="000000"/>
        </w:rPr>
        <w:t>Propose standards and robust solutions to map the generative-AI supply chain, identify, trace and find trusted content, and ensure authenticity; tools for strengthening consent, control, rights management and compensation for the use of artistic and creative data in AI; suggest other measures to ensure a fair and transparent market for cultural and creative content, including solutions to increase the discoverability of trustworthy cultural and creative content, including copyright protected content that co</w:t>
      </w:r>
      <w:r>
        <w:rPr>
          <w:color w:val="000000"/>
        </w:rPr>
        <w:t>uld be used for the AI training.</w:t>
      </w:r>
    </w:p>
    <w:p w14:paraId="406F75F4" w14:textId="77777777" w:rsidR="00D84031" w:rsidRDefault="007965BB" w:rsidP="00C62CF4">
      <w:pPr>
        <w:pStyle w:val="ListParagraph"/>
        <w:numPr>
          <w:ilvl w:val="0"/>
          <w:numId w:val="40"/>
        </w:numPr>
      </w:pPr>
      <w:r>
        <w:rPr>
          <w:color w:val="000000"/>
        </w:rPr>
        <w:t>Investigate new, efficient ways to redefine value creation and transformed business models. This includes looking at uncovering opportunities that support human creation, and increase profitability, while providing frameworks for the distribution of AI-generated and/or assisted creative content, and measures for long term preservation of valuable works created with the use of AI.</w:t>
      </w:r>
    </w:p>
    <w:p w14:paraId="0F0CD767" w14:textId="77777777" w:rsidR="00D84031" w:rsidRDefault="007965BB" w:rsidP="00C62CF4">
      <w:pPr>
        <w:pStyle w:val="ListParagraph"/>
        <w:numPr>
          <w:ilvl w:val="0"/>
          <w:numId w:val="40"/>
        </w:numPr>
      </w:pPr>
      <w:r>
        <w:rPr>
          <w:color w:val="000000"/>
        </w:rPr>
        <w:t xml:space="preserve">Systemic and agile innovation: propose a validated framework to experiment, design, prototype and test new business models that can adapt to a rapidly evolving market, are resource efficient, and comply with ethical and regulatory frameworks.  </w:t>
      </w:r>
    </w:p>
    <w:p w14:paraId="7AB04203" w14:textId="77777777" w:rsidR="00D84031" w:rsidRDefault="007965BB">
      <w:r>
        <w:rPr>
          <w:color w:val="000000"/>
        </w:rPr>
        <w:t>By integrating these findings and insights, risks associated with generative AI can be mitigated and new positive prospects developed. Insights gained are expected to contribute to the EU’s global leadership in creativity and innovation.</w:t>
      </w:r>
    </w:p>
    <w:p w14:paraId="56E164C0" w14:textId="77777777" w:rsidR="00D84031" w:rsidRDefault="007965BB">
      <w:r>
        <w:rPr>
          <w:color w:val="000000"/>
        </w:rPr>
        <w:t>Proposals should consider relevant policy initiatives, such as the AI Continent Action Plan and the forthcoming AI dedicated strategy for the cultural and creative sectors</w:t>
      </w:r>
      <w:r>
        <w:rPr>
          <w:vertAlign w:val="superscript"/>
        </w:rPr>
        <w:footnoteReference w:id="91"/>
      </w:r>
      <w:r>
        <w:rPr>
          <w:color w:val="000000"/>
        </w:rPr>
        <w:t xml:space="preserve">, and build </w:t>
      </w:r>
      <w:r>
        <w:rPr>
          <w:color w:val="000000"/>
        </w:rPr>
        <w:lastRenderedPageBreak/>
        <w:t>upon existing research and innovation outcomes. Proposals selected under this call should collaborate and, if relevant, build upon the research developed by projects retained under call HORIZON-CL2-2025-01-HERITAGE-04.</w:t>
      </w:r>
    </w:p>
    <w:p w14:paraId="1FE2F6BD" w14:textId="77777777" w:rsidR="00D84031" w:rsidRDefault="007965BB">
      <w:pPr>
        <w:pStyle w:val="HeadingThree"/>
      </w:pPr>
      <w:r>
        <w:t>HORIZON-CL2-2026-01-HERITAGE-05: Creative alliances: Fostering global partnerships in cultural policies and CCI innovation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27E41E11" w14:textId="77777777" w:rsidTr="00C62CF4">
        <w:tc>
          <w:tcPr>
            <w:tcW w:w="0" w:type="auto"/>
            <w:gridSpan w:val="2"/>
          </w:tcPr>
          <w:p w14:paraId="61207418" w14:textId="77777777" w:rsidR="00D84031" w:rsidRDefault="007965BB">
            <w:pPr>
              <w:pStyle w:val="CellTextValue"/>
            </w:pPr>
            <w:r>
              <w:rPr>
                <w:b/>
              </w:rPr>
              <w:t>Call: Culture, Creativity and Inclusive Society 2026</w:t>
            </w:r>
          </w:p>
        </w:tc>
      </w:tr>
      <w:tr w:rsidR="00C62CF4" w14:paraId="41C2087B" w14:textId="77777777" w:rsidTr="00C62CF4">
        <w:tc>
          <w:tcPr>
            <w:tcW w:w="0" w:type="auto"/>
            <w:gridSpan w:val="2"/>
          </w:tcPr>
          <w:p w14:paraId="75624378" w14:textId="77777777" w:rsidR="00D84031" w:rsidRDefault="007965BB">
            <w:pPr>
              <w:pStyle w:val="CellTextValue"/>
            </w:pPr>
            <w:r>
              <w:rPr>
                <w:b/>
              </w:rPr>
              <w:t>Specific conditions</w:t>
            </w:r>
          </w:p>
        </w:tc>
      </w:tr>
      <w:tr w:rsidR="00D84031" w14:paraId="2A5D7960" w14:textId="77777777">
        <w:tc>
          <w:tcPr>
            <w:tcW w:w="0" w:type="auto"/>
          </w:tcPr>
          <w:p w14:paraId="4BCC2090" w14:textId="77777777" w:rsidR="00D84031" w:rsidRDefault="007965BB">
            <w:pPr>
              <w:pStyle w:val="CellTextValue"/>
              <w:jc w:val="left"/>
            </w:pPr>
            <w:r>
              <w:rPr>
                <w:i/>
              </w:rPr>
              <w:t xml:space="preserve">Expected EU </w:t>
            </w:r>
            <w:r>
              <w:rPr>
                <w:i/>
              </w:rPr>
              <w:t>contribution per project</w:t>
            </w:r>
          </w:p>
        </w:tc>
        <w:tc>
          <w:tcPr>
            <w:tcW w:w="0" w:type="auto"/>
          </w:tcPr>
          <w:p w14:paraId="710A11E5" w14:textId="77777777" w:rsidR="00D84031" w:rsidRDefault="007965BB">
            <w:pPr>
              <w:pStyle w:val="CellTextValue"/>
            </w:pPr>
            <w:r>
              <w:t>The Commission estimates that an EU contribution of between EUR 3.00 and 3.75 million would allow these outcomes to be addressed appropriately. Nonetheless, this does not preclude submission and selection of a proposal requesting different amounts.</w:t>
            </w:r>
          </w:p>
        </w:tc>
      </w:tr>
      <w:tr w:rsidR="00D84031" w14:paraId="41059DFD" w14:textId="77777777">
        <w:tc>
          <w:tcPr>
            <w:tcW w:w="0" w:type="auto"/>
          </w:tcPr>
          <w:p w14:paraId="5F062307" w14:textId="77777777" w:rsidR="00D84031" w:rsidRDefault="007965BB">
            <w:pPr>
              <w:pStyle w:val="CellTextValue"/>
              <w:jc w:val="left"/>
            </w:pPr>
            <w:r>
              <w:rPr>
                <w:i/>
              </w:rPr>
              <w:t>Indicative budget</w:t>
            </w:r>
          </w:p>
        </w:tc>
        <w:tc>
          <w:tcPr>
            <w:tcW w:w="0" w:type="auto"/>
          </w:tcPr>
          <w:p w14:paraId="097AA481" w14:textId="77777777" w:rsidR="00D84031" w:rsidRDefault="007965BB">
            <w:pPr>
              <w:pStyle w:val="CellTextValue"/>
            </w:pPr>
            <w:r>
              <w:t>The total indicative budget for the topic is EUR 15.00 million.</w:t>
            </w:r>
          </w:p>
        </w:tc>
      </w:tr>
      <w:tr w:rsidR="00D84031" w14:paraId="35B125C3" w14:textId="77777777">
        <w:tc>
          <w:tcPr>
            <w:tcW w:w="0" w:type="auto"/>
          </w:tcPr>
          <w:p w14:paraId="0F8AC46F" w14:textId="77777777" w:rsidR="00D84031" w:rsidRDefault="007965BB">
            <w:pPr>
              <w:pStyle w:val="CellTextValue"/>
              <w:jc w:val="left"/>
            </w:pPr>
            <w:r>
              <w:rPr>
                <w:i/>
              </w:rPr>
              <w:t>Type of Action</w:t>
            </w:r>
          </w:p>
        </w:tc>
        <w:tc>
          <w:tcPr>
            <w:tcW w:w="0" w:type="auto"/>
          </w:tcPr>
          <w:p w14:paraId="599EA1C7" w14:textId="77777777" w:rsidR="00D84031" w:rsidRDefault="007965BB">
            <w:pPr>
              <w:pStyle w:val="CellTextValue"/>
            </w:pPr>
            <w:r>
              <w:rPr>
                <w:color w:val="000000"/>
              </w:rPr>
              <w:t>Research and Innovation Actions</w:t>
            </w:r>
          </w:p>
        </w:tc>
      </w:tr>
      <w:tr w:rsidR="00D84031" w14:paraId="787DB5D9" w14:textId="77777777">
        <w:tc>
          <w:tcPr>
            <w:tcW w:w="0" w:type="auto"/>
          </w:tcPr>
          <w:p w14:paraId="680274D7" w14:textId="77777777" w:rsidR="00D84031" w:rsidRDefault="007965BB">
            <w:pPr>
              <w:pStyle w:val="CellTextValue"/>
              <w:jc w:val="left"/>
            </w:pPr>
            <w:r>
              <w:rPr>
                <w:i/>
              </w:rPr>
              <w:t>Eligibility conditions</w:t>
            </w:r>
          </w:p>
        </w:tc>
        <w:tc>
          <w:tcPr>
            <w:tcW w:w="0" w:type="auto"/>
          </w:tcPr>
          <w:p w14:paraId="4149557D" w14:textId="77777777" w:rsidR="00D84031" w:rsidRDefault="007965BB">
            <w:pPr>
              <w:pStyle w:val="CellTextValue"/>
            </w:pPr>
            <w:r>
              <w:rPr>
                <w:color w:val="000000"/>
              </w:rPr>
              <w:t xml:space="preserve">The conditions are described in General Annex B. The following exceptions </w:t>
            </w:r>
            <w:r>
              <w:rPr>
                <w:color w:val="000000"/>
              </w:rPr>
              <w:t>apply:</w:t>
            </w:r>
          </w:p>
          <w:p w14:paraId="35618024" w14:textId="77777777" w:rsidR="00D84031" w:rsidRDefault="007965BB">
            <w:pPr>
              <w:pStyle w:val="CellTextValue"/>
            </w:pPr>
            <w:r>
              <w:rPr>
                <w:color w:val="000000"/>
              </w:rPr>
              <w:t>In order to achieve the expected outcomes, of the action, the consortium must include at least three entities from at least one of the world regions identified (Africa, the Far East, South-East Asia, Latin America). Legal entities from these regions must take part in the project as beneficiaries. Due to the scope of this topic, legal entities established in these regions are exceptionally eligible for Union funding.</w:t>
            </w:r>
          </w:p>
        </w:tc>
      </w:tr>
      <w:tr w:rsidR="00D84031" w14:paraId="3DEE57CC" w14:textId="77777777">
        <w:tc>
          <w:tcPr>
            <w:tcW w:w="0" w:type="auto"/>
          </w:tcPr>
          <w:p w14:paraId="09B63EB2" w14:textId="77777777" w:rsidR="00D84031" w:rsidRDefault="007965BB">
            <w:pPr>
              <w:pStyle w:val="CellTextValue"/>
              <w:jc w:val="left"/>
            </w:pPr>
            <w:r>
              <w:rPr>
                <w:i/>
              </w:rPr>
              <w:t>Legal and financial set-up of the Grant Agreements</w:t>
            </w:r>
          </w:p>
        </w:tc>
        <w:tc>
          <w:tcPr>
            <w:tcW w:w="0" w:type="auto"/>
          </w:tcPr>
          <w:p w14:paraId="2F8FE5B1" w14:textId="77777777" w:rsidR="00D84031" w:rsidRDefault="007965BB">
            <w:pPr>
              <w:pStyle w:val="CellTextValue"/>
            </w:pPr>
            <w:r>
              <w:rPr>
                <w:color w:val="000000"/>
              </w:rPr>
              <w:t>The rules are described in General Annex G. The following exceptions apply:</w:t>
            </w:r>
          </w:p>
          <w:p w14:paraId="3E6B8587"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92"/>
            </w:r>
            <w:r>
              <w:rPr>
                <w:color w:val="000000"/>
              </w:rPr>
              <w:t>.</w:t>
            </w:r>
          </w:p>
        </w:tc>
      </w:tr>
    </w:tbl>
    <w:p w14:paraId="7BAAF915" w14:textId="77777777" w:rsidR="00D84031" w:rsidRDefault="00D84031">
      <w:pPr>
        <w:spacing w:after="0" w:line="150" w:lineRule="auto"/>
      </w:pPr>
    </w:p>
    <w:p w14:paraId="6922A1DF" w14:textId="77777777" w:rsidR="00D84031" w:rsidRDefault="007965BB">
      <w:r>
        <w:rPr>
          <w:u w:val="single"/>
        </w:rPr>
        <w:t>Expected Outcome</w:t>
      </w:r>
      <w:r>
        <w:t xml:space="preserve">: </w:t>
      </w:r>
      <w:r>
        <w:rPr>
          <w:color w:val="000000"/>
        </w:rPr>
        <w:t>Projects should contribute to all of the following expected outcomes:</w:t>
      </w:r>
    </w:p>
    <w:p w14:paraId="70A8E2F7" w14:textId="77777777" w:rsidR="00D84031" w:rsidRDefault="007965BB" w:rsidP="00C62CF4">
      <w:pPr>
        <w:pStyle w:val="ListParagraph"/>
        <w:numPr>
          <w:ilvl w:val="0"/>
          <w:numId w:val="41"/>
        </w:numPr>
      </w:pPr>
      <w:r>
        <w:rPr>
          <w:color w:val="000000"/>
        </w:rPr>
        <w:lastRenderedPageBreak/>
        <w:t xml:space="preserve">Deepened understanding and comprehensive evaluation of cultural policy models, creative industry ecosystems, and strategies for promoting creative industries across world regions, identifying good practices, success stories and replicable models. Innovative practices, policy approaches, shared challenges, and opportunities for cross-regional collaboration and global development of creative industries are identified. </w:t>
      </w:r>
    </w:p>
    <w:p w14:paraId="1A1820B5" w14:textId="77777777" w:rsidR="00D84031" w:rsidRDefault="007965BB" w:rsidP="00C62CF4">
      <w:pPr>
        <w:pStyle w:val="ListParagraph"/>
        <w:numPr>
          <w:ilvl w:val="0"/>
          <w:numId w:val="41"/>
        </w:numPr>
      </w:pPr>
      <w:r>
        <w:rPr>
          <w:color w:val="000000"/>
        </w:rPr>
        <w:t xml:space="preserve">International equal partnerships and collaborations are established to exchange cultural policy approaches, boost creative industries, and/or support collaborative production or co-creation, facilitating knowledge transfer and capacity building among participating actors. </w:t>
      </w:r>
    </w:p>
    <w:p w14:paraId="2AAB86B6" w14:textId="77777777" w:rsidR="00D84031" w:rsidRDefault="007965BB" w:rsidP="00C62CF4">
      <w:pPr>
        <w:pStyle w:val="ListParagraph"/>
        <w:numPr>
          <w:ilvl w:val="0"/>
          <w:numId w:val="41"/>
        </w:numPr>
      </w:pPr>
      <w:r>
        <w:rPr>
          <w:color w:val="000000"/>
        </w:rPr>
        <w:t xml:space="preserve">Actionable strategies are available to policymakers, businesses, and stakeholders, for cross-regional collaborations that strengthen cultural ties, leverage creative industries, culture, and the arts as central to Global Europe, and support global culture- and creativity-driven innovation and resilience.  </w:t>
      </w:r>
    </w:p>
    <w:p w14:paraId="115BCE7C" w14:textId="77777777" w:rsidR="00D84031" w:rsidRDefault="007965BB">
      <w:r>
        <w:rPr>
          <w:u w:val="single"/>
        </w:rPr>
        <w:t>Scope</w:t>
      </w:r>
      <w:r>
        <w:t xml:space="preserve">: </w:t>
      </w:r>
      <w:r>
        <w:rPr>
          <w:color w:val="000000"/>
        </w:rPr>
        <w:t>This topic explores how international partnerships can strengthen cultural policies and creative industries innovation, promote cross-cultural collaboration, and support sustainable development and global relations. Proposals should examine innovative approaches that benefit partners worldwide while enhancing Europe's global standing through cultural cooperation. The topic has two distinct but interconnected focuses; proposals should select one but may also consider complementarities and synergies with th</w:t>
      </w:r>
      <w:r>
        <w:rPr>
          <w:color w:val="000000"/>
        </w:rPr>
        <w:t xml:space="preserve">e other. </w:t>
      </w:r>
    </w:p>
    <w:p w14:paraId="0A0D20C6" w14:textId="77777777" w:rsidR="00D84031" w:rsidRDefault="007965BB">
      <w:r>
        <w:rPr>
          <w:b/>
          <w:color w:val="000000"/>
        </w:rPr>
        <w:t>Focus 1: Cultural and creative industries’ innovation beyond borders</w:t>
      </w:r>
    </w:p>
    <w:p w14:paraId="34AF0879" w14:textId="77777777" w:rsidR="00D84031" w:rsidRDefault="007965BB">
      <w:r>
        <w:rPr>
          <w:color w:val="000000"/>
        </w:rPr>
        <w:t>Creative industries are gaining global attention for their multifaceted impact on economies and societies, driving economic growth, job creation, opportunities for youth, women, and persons with disabilities, while generating value and fostering wellbeing across regions. By investing in digital and green transitions, adopting ethical and open AI, and leveraging cultural heritage, the EU offers a compelling paradigm for creative industries worldwide. This approach strengthens creativity within Europe and can</w:t>
      </w:r>
      <w:r>
        <w:rPr>
          <w:color w:val="000000"/>
        </w:rPr>
        <w:t xml:space="preserve"> inspire other regions developing their own cultural and creative economies, contributing to a flourishing global creative ecosystem. Creative industries support resilient, inclusive, balanced and mutually respectful partnerships that create new markets and drive innovation, advancing a global Europe. There is a growing need to explore diverse approaches to promoting cultural and creative industries, fostering knowledge exchange and mutual learning to amplify positive impacts worldwide, with Africa, the Far</w:t>
      </w:r>
      <w:r>
        <w:rPr>
          <w:color w:val="000000"/>
        </w:rPr>
        <w:t xml:space="preserve"> East, South-East Asia, Latin America being particularly promising regions for cooperation. Proposals should establish pilot projects to demonstrate the potential of cross-regional cooperation in creative industries, addressing specific regional challenges and opportunities. They may leverage the EU Global Gateway strategy to foster resilient, inclusive, and innovative global partnerships.</w:t>
      </w:r>
      <w:r>
        <w:rPr>
          <w:b/>
          <w:color w:val="000000"/>
        </w:rPr>
        <w:t xml:space="preserve"> </w:t>
      </w:r>
    </w:p>
    <w:p w14:paraId="39E4DACE" w14:textId="77777777" w:rsidR="00D84031" w:rsidRDefault="007965BB">
      <w:r>
        <w:rPr>
          <w:b/>
          <w:color w:val="000000"/>
        </w:rPr>
        <w:t>Focus 2: International cultural relations for global resilience</w:t>
      </w:r>
    </w:p>
    <w:p w14:paraId="1BAAEA4E" w14:textId="77777777" w:rsidR="00D84031" w:rsidRDefault="007965BB">
      <w:r>
        <w:rPr>
          <w:color w:val="000000"/>
        </w:rPr>
        <w:t xml:space="preserve">While often used interchangeably, cultural diplomacy, international cultural relations, and soft power each reflect different layers of collaboration and competition: cultural diplomacy often </w:t>
      </w:r>
      <w:r>
        <w:rPr>
          <w:color w:val="000000"/>
        </w:rPr>
        <w:lastRenderedPageBreak/>
        <w:t xml:space="preserve">advance national interests through cultural exchange, international cultural relations emphasise mutual and reciprocal engagement, and soft power highlights the subtle influence of culture and creativity in shaping global perceptions. </w:t>
      </w:r>
    </w:p>
    <w:p w14:paraId="06EB612C" w14:textId="77777777" w:rsidR="00D84031" w:rsidRDefault="007965BB">
      <w:r>
        <w:rPr>
          <w:color w:val="000000"/>
        </w:rPr>
        <w:t>As traditional diplomatic channels face pressures, these approaches have become vital for enhancing mutual understanding, building trust, and fostering dialogue and cooperation across borders—even amid political disagreements. They promote societal resilience and peaceful coexistence by highlighting common values, easing tensions, and bridging divides. International cultural relations also offer opportunities to strengthen existing partnerships or forge new ones—important also for Europe’s own strategic aut</w:t>
      </w:r>
      <w:r>
        <w:rPr>
          <w:color w:val="000000"/>
        </w:rPr>
        <w:t>onomy—by leveraging shared values, cooperation mechanisms, existing networks (including the EU Global Gateway), and diverse cultural diplomacy strategies in today’s geopolitical landscape.</w:t>
      </w:r>
    </w:p>
    <w:p w14:paraId="0EFB7642" w14:textId="77777777" w:rsidR="00D84031" w:rsidRDefault="007965BB">
      <w:r>
        <w:rPr>
          <w:color w:val="000000"/>
        </w:rPr>
        <w:t xml:space="preserve">Proposals under this focus should establish </w:t>
      </w:r>
      <w:r>
        <w:rPr>
          <w:b/>
          <w:color w:val="000000"/>
        </w:rPr>
        <w:t>pilot projects</w:t>
      </w:r>
      <w:r>
        <w:rPr>
          <w:color w:val="000000"/>
        </w:rPr>
        <w:t xml:space="preserve"> to test innovative forms of international cultural relations, such as initiatives fostering intercultural dialogue among communities experiencing tension or affected by conflict; collaborative artistic projects promoting mutual understanding and countering nationalism, xenophobia or conflict; cultural partnerships that avoid asymmetric power dynamics; or joint activities demonstrating how culture can strengthen societal resilience through inclusion, diversity, openness. Africa, the Far East, </w:t>
      </w:r>
      <w:r>
        <w:rPr>
          <w:color w:val="000000"/>
        </w:rPr>
        <w:t>South-East Asia, Latin America are regions of particular interest for this focus area as well. Proposals should clearly indicate the focus they have selected.</w:t>
      </w:r>
    </w:p>
    <w:p w14:paraId="5FF467F7" w14:textId="77777777" w:rsidR="00D84031" w:rsidRDefault="007965BB">
      <w:r>
        <w:rPr>
          <w:color w:val="000000"/>
        </w:rPr>
        <w:t>Projects should establish mechanisms for ongoing collaboration that leverage each region's cultural assets and industry innovations to address global and local challenges</w:t>
      </w:r>
    </w:p>
    <w:p w14:paraId="3E454C17" w14:textId="77777777" w:rsidR="00D84031" w:rsidRDefault="007965BB">
      <w:r>
        <w:rPr>
          <w:color w:val="000000"/>
        </w:rPr>
        <w:t>Proposals addressing either focus may also explore ways to address unequal access to global markets and imbalances in partnerships within the creative economy, with attention to gender and other intersectional aspects shaping opportunities and participation. Research organisations, policy think-tanks, creative industries representatives, artist organisations/artists, tech communities, and cultural organisations from Europe and partner world regions are encouraged to participate.</w:t>
      </w:r>
    </w:p>
    <w:p w14:paraId="0384F4A3" w14:textId="77777777" w:rsidR="00D84031" w:rsidRDefault="007965BB">
      <w:r>
        <w:rPr>
          <w:color w:val="000000"/>
        </w:rPr>
        <w:t>Proposals should involve CCSI representatives from the outset to ensure their central role. Proposals need not cover all CCSI but may focus on a specific area for in-depth analysis to develop a strong knowledge base and highlight strategic directions and routes to improvement. Proposals should explore synergies with other EU programmes supporting international cultural and creative partnerships, including the European Spaces of Culture,</w:t>
      </w:r>
      <w:r>
        <w:rPr>
          <w:vertAlign w:val="superscript"/>
        </w:rPr>
        <w:footnoteReference w:id="93"/>
      </w:r>
      <w:r>
        <w:rPr>
          <w:color w:val="000000"/>
        </w:rPr>
        <w:t xml:space="preserve"> </w:t>
      </w:r>
      <w:r>
        <w:rPr>
          <w:color w:val="000000"/>
        </w:rPr>
        <w:lastRenderedPageBreak/>
        <w:t xml:space="preserve">and may seek complementarities with projects funded under the topic HORIZON-CL2-2025-01-HERITAGE-07. </w:t>
      </w:r>
    </w:p>
    <w:p w14:paraId="1EA9C25F" w14:textId="77777777" w:rsidR="00D84031" w:rsidRDefault="007965BB">
      <w:pPr>
        <w:pStyle w:val="HeadingThree"/>
      </w:pPr>
      <w:r>
        <w:t>SUPPORTING PEOPLE, STRENGTHENING OUR SOCIETIES AND OUR SOCIAL MODEL</w:t>
      </w:r>
    </w:p>
    <w:p w14:paraId="71926FFB" w14:textId="77777777" w:rsidR="00D84031" w:rsidRDefault="007965BB">
      <w:pPr>
        <w:pStyle w:val="HeadingThree"/>
      </w:pPr>
      <w:r>
        <w:t>HORIZON-CL2-2026-01-HERITAGE-06: Safeguarding linguistic diversity in Europe</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303CC581" w14:textId="77777777" w:rsidTr="00C62CF4">
        <w:tc>
          <w:tcPr>
            <w:tcW w:w="0" w:type="auto"/>
            <w:gridSpan w:val="2"/>
          </w:tcPr>
          <w:p w14:paraId="19DED63D" w14:textId="77777777" w:rsidR="00D84031" w:rsidRDefault="007965BB">
            <w:pPr>
              <w:pStyle w:val="CellTextValue"/>
            </w:pPr>
            <w:r>
              <w:rPr>
                <w:b/>
              </w:rPr>
              <w:t>Call: Culture, Creativity and Inclusive Society 2026</w:t>
            </w:r>
          </w:p>
        </w:tc>
      </w:tr>
      <w:tr w:rsidR="00C62CF4" w14:paraId="696BAD0C" w14:textId="77777777" w:rsidTr="00C62CF4">
        <w:tc>
          <w:tcPr>
            <w:tcW w:w="0" w:type="auto"/>
            <w:gridSpan w:val="2"/>
          </w:tcPr>
          <w:p w14:paraId="2671C28D" w14:textId="77777777" w:rsidR="00D84031" w:rsidRDefault="007965BB">
            <w:pPr>
              <w:pStyle w:val="CellTextValue"/>
            </w:pPr>
            <w:r>
              <w:rPr>
                <w:b/>
              </w:rPr>
              <w:t>Specific conditions</w:t>
            </w:r>
          </w:p>
        </w:tc>
      </w:tr>
      <w:tr w:rsidR="00D84031" w14:paraId="2B3EF6FB" w14:textId="77777777">
        <w:tc>
          <w:tcPr>
            <w:tcW w:w="0" w:type="auto"/>
          </w:tcPr>
          <w:p w14:paraId="62DA81E5" w14:textId="77777777" w:rsidR="00D84031" w:rsidRDefault="007965BB">
            <w:pPr>
              <w:pStyle w:val="CellTextValue"/>
              <w:jc w:val="left"/>
            </w:pPr>
            <w:r>
              <w:rPr>
                <w:i/>
              </w:rPr>
              <w:t>Expected EU contribution per project</w:t>
            </w:r>
          </w:p>
        </w:tc>
        <w:tc>
          <w:tcPr>
            <w:tcW w:w="0" w:type="auto"/>
          </w:tcPr>
          <w:p w14:paraId="73B6148A" w14:textId="77777777" w:rsidR="00D84031" w:rsidRDefault="007965BB">
            <w:pPr>
              <w:pStyle w:val="CellTextValue"/>
            </w:pPr>
            <w:r>
              <w:t xml:space="preserve">The Commission </w:t>
            </w:r>
            <w:r>
              <w:t>estimates that an EU contribution of between EUR 5.00 and 5.75 million would allow these outcomes to be addressed appropriately. Nonetheless, this does not preclude submission and selection of a proposal requesting different amounts.</w:t>
            </w:r>
          </w:p>
        </w:tc>
      </w:tr>
      <w:tr w:rsidR="00D84031" w14:paraId="5B5EFDBE" w14:textId="77777777">
        <w:tc>
          <w:tcPr>
            <w:tcW w:w="0" w:type="auto"/>
          </w:tcPr>
          <w:p w14:paraId="2995D6F9" w14:textId="77777777" w:rsidR="00D84031" w:rsidRDefault="007965BB">
            <w:pPr>
              <w:pStyle w:val="CellTextValue"/>
              <w:jc w:val="left"/>
            </w:pPr>
            <w:r>
              <w:rPr>
                <w:i/>
              </w:rPr>
              <w:t>Indicative budget</w:t>
            </w:r>
          </w:p>
        </w:tc>
        <w:tc>
          <w:tcPr>
            <w:tcW w:w="0" w:type="auto"/>
          </w:tcPr>
          <w:p w14:paraId="7464D57C" w14:textId="77777777" w:rsidR="00D84031" w:rsidRDefault="007965BB">
            <w:pPr>
              <w:pStyle w:val="CellTextValue"/>
            </w:pPr>
            <w:r>
              <w:t>The total indicative budget for the topic is EUR 11.50 million.</w:t>
            </w:r>
          </w:p>
        </w:tc>
      </w:tr>
      <w:tr w:rsidR="00D84031" w14:paraId="7E3FC904" w14:textId="77777777">
        <w:tc>
          <w:tcPr>
            <w:tcW w:w="0" w:type="auto"/>
          </w:tcPr>
          <w:p w14:paraId="66393A10" w14:textId="77777777" w:rsidR="00D84031" w:rsidRDefault="007965BB">
            <w:pPr>
              <w:pStyle w:val="CellTextValue"/>
              <w:jc w:val="left"/>
            </w:pPr>
            <w:r>
              <w:rPr>
                <w:i/>
              </w:rPr>
              <w:t>Type of Action</w:t>
            </w:r>
          </w:p>
        </w:tc>
        <w:tc>
          <w:tcPr>
            <w:tcW w:w="0" w:type="auto"/>
          </w:tcPr>
          <w:p w14:paraId="3C756210" w14:textId="77777777" w:rsidR="00D84031" w:rsidRDefault="007965BB">
            <w:pPr>
              <w:pStyle w:val="CellTextValue"/>
            </w:pPr>
            <w:r>
              <w:rPr>
                <w:color w:val="000000"/>
              </w:rPr>
              <w:t>Research and Innovation Actions</w:t>
            </w:r>
          </w:p>
        </w:tc>
      </w:tr>
      <w:tr w:rsidR="00D84031" w14:paraId="1E697D46" w14:textId="77777777">
        <w:tc>
          <w:tcPr>
            <w:tcW w:w="0" w:type="auto"/>
          </w:tcPr>
          <w:p w14:paraId="700F8A0C" w14:textId="77777777" w:rsidR="00D84031" w:rsidRDefault="007965BB">
            <w:pPr>
              <w:pStyle w:val="CellTextValue"/>
              <w:jc w:val="left"/>
            </w:pPr>
            <w:r>
              <w:rPr>
                <w:i/>
              </w:rPr>
              <w:t>Legal and financial set-up of the Grant Agreements</w:t>
            </w:r>
          </w:p>
        </w:tc>
        <w:tc>
          <w:tcPr>
            <w:tcW w:w="0" w:type="auto"/>
          </w:tcPr>
          <w:p w14:paraId="1F2FE845" w14:textId="77777777" w:rsidR="00D84031" w:rsidRDefault="007965BB">
            <w:pPr>
              <w:pStyle w:val="CellTextValue"/>
            </w:pPr>
            <w:r>
              <w:rPr>
                <w:color w:val="000000"/>
              </w:rPr>
              <w:t>The rules are described in General Annex G. The following exceptions apply:</w:t>
            </w:r>
          </w:p>
          <w:p w14:paraId="0BEE66ED"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94"/>
            </w:r>
            <w:r>
              <w:rPr>
                <w:color w:val="000000"/>
              </w:rPr>
              <w:t>.</w:t>
            </w:r>
          </w:p>
          <w:p w14:paraId="53EF4CFE" w14:textId="77777777" w:rsidR="00D84031" w:rsidRDefault="007965BB">
            <w:pPr>
              <w:pStyle w:val="CellTextValue"/>
            </w:pPr>
            <w:r>
              <w:rPr>
                <w:color w:val="000000"/>
              </w:rPr>
              <w:t>Beneficiaries may provide financial support to third parties. The support to third parties can only be provided in the form of grants. The maximum amount to be granted to each third party is EUR 60 000.</w:t>
            </w:r>
          </w:p>
        </w:tc>
      </w:tr>
    </w:tbl>
    <w:p w14:paraId="4FF7A778" w14:textId="77777777" w:rsidR="00D84031" w:rsidRDefault="00D84031">
      <w:pPr>
        <w:spacing w:after="0" w:line="150" w:lineRule="auto"/>
      </w:pPr>
    </w:p>
    <w:p w14:paraId="6AE0738B" w14:textId="77777777" w:rsidR="00D84031" w:rsidRDefault="007965BB">
      <w:r>
        <w:rPr>
          <w:u w:val="single"/>
        </w:rPr>
        <w:t>Expected Outcome</w:t>
      </w:r>
      <w:r>
        <w:t xml:space="preserve">: </w:t>
      </w:r>
      <w:r>
        <w:rPr>
          <w:color w:val="000000"/>
        </w:rPr>
        <w:t>Projects should contribute to all the following expected outcomes:</w:t>
      </w:r>
    </w:p>
    <w:p w14:paraId="3FBD8A3E" w14:textId="77777777" w:rsidR="00D84031" w:rsidRDefault="007965BB" w:rsidP="00C62CF4">
      <w:pPr>
        <w:pStyle w:val="ListParagraph"/>
        <w:numPr>
          <w:ilvl w:val="0"/>
          <w:numId w:val="42"/>
        </w:numPr>
      </w:pPr>
      <w:r>
        <w:rPr>
          <w:color w:val="000000"/>
        </w:rPr>
        <w:t xml:space="preserve">Enhanced understanding, accompanied by documented good practices, showing what works to encourage multilingualism in society and what type of practices have led to safeguarding linguistic heritage. </w:t>
      </w:r>
    </w:p>
    <w:p w14:paraId="656D31FB" w14:textId="77777777" w:rsidR="00D84031" w:rsidRDefault="007965BB" w:rsidP="00C62CF4">
      <w:pPr>
        <w:pStyle w:val="ListParagraph"/>
        <w:numPr>
          <w:ilvl w:val="0"/>
          <w:numId w:val="42"/>
        </w:numPr>
      </w:pPr>
      <w:r>
        <w:rPr>
          <w:color w:val="000000"/>
        </w:rPr>
        <w:lastRenderedPageBreak/>
        <w:t>Rigorous policy-relevant evidence, strategies and policy recommendations for promoting multilingualism and safeguarding linguistic diversity are available to policy makers, and users are involved in their development, especially the younger generation. Non-linguistic benefits of language maintenance and revitalisation are well documented, communicated and understood by different stakeholders.</w:t>
      </w:r>
    </w:p>
    <w:p w14:paraId="292352A3" w14:textId="77777777" w:rsidR="00D84031" w:rsidRDefault="007965BB" w:rsidP="00C62CF4">
      <w:pPr>
        <w:pStyle w:val="ListParagraph"/>
        <w:numPr>
          <w:ilvl w:val="0"/>
          <w:numId w:val="42"/>
        </w:numPr>
      </w:pPr>
      <w:r>
        <w:rPr>
          <w:color w:val="000000"/>
        </w:rPr>
        <w:t xml:space="preserve">Citizens are empowered and engaged in the </w:t>
      </w:r>
      <w:r>
        <w:rPr>
          <w:color w:val="000000"/>
        </w:rPr>
        <w:t>sustainable management of their own linguistic heritage and resources, with a focus on intergenerational dialogue and education activities.</w:t>
      </w:r>
    </w:p>
    <w:p w14:paraId="4B25F2A2" w14:textId="77777777" w:rsidR="00D84031" w:rsidRDefault="007965BB" w:rsidP="00C62CF4">
      <w:pPr>
        <w:pStyle w:val="ListParagraph"/>
        <w:numPr>
          <w:ilvl w:val="0"/>
          <w:numId w:val="42"/>
        </w:numPr>
      </w:pPr>
      <w:r>
        <w:rPr>
          <w:color w:val="000000"/>
        </w:rPr>
        <w:t xml:space="preserve">Maps and visual presentations showing the linguistic diversity in Europe are available, including a variety of existing languages (regional and minority languages, indigenous languages, low resources languages etc.) and offering suited terminology and explanations.  </w:t>
      </w:r>
    </w:p>
    <w:p w14:paraId="09DA0C45" w14:textId="77777777" w:rsidR="00D84031" w:rsidRDefault="007965BB">
      <w:r>
        <w:rPr>
          <w:u w:val="single"/>
        </w:rPr>
        <w:t>Scope</w:t>
      </w:r>
      <w:r>
        <w:t xml:space="preserve">: </w:t>
      </w:r>
      <w:r>
        <w:rPr>
          <w:color w:val="000000"/>
        </w:rPr>
        <w:t xml:space="preserve">Linguistic diversity is a fundamental part of Europe’s cultural heritage. When languages disappear, a whole knowledge system disappears, and cultural diversity is impoverished. Linguistic diversity plays a key role in safeguarding cultural diversity. Languages are the expression of the identity, culture and the way peoples perceive their world. Knowledge and culture are lost when languages are lost. </w:t>
      </w:r>
    </w:p>
    <w:p w14:paraId="0D155743" w14:textId="77777777" w:rsidR="00D84031" w:rsidRDefault="007965BB">
      <w:r>
        <w:rPr>
          <w:color w:val="000000"/>
        </w:rPr>
        <w:t>The EU has 24 official languages and some estimated 60 other languages spoken in particular regions or by specific groups. They are an essential part of the rich fabric of European culture. The proposals would document and map the situation of linguistic diversity in Europe, taking into consideration existing frameworks, initiatives and working terminology established by the Council of Europe and UNESCO.</w:t>
      </w:r>
    </w:p>
    <w:p w14:paraId="06C14E8E" w14:textId="77777777" w:rsidR="00D84031" w:rsidRDefault="007965BB">
      <w:r>
        <w:rPr>
          <w:color w:val="000000"/>
        </w:rPr>
        <w:t xml:space="preserve">The proposals should identify examples of good practice that have resulted in richer use of languages in society, thus promoting multilingualism, and would support sharing of knowledge and good practices. </w:t>
      </w:r>
    </w:p>
    <w:p w14:paraId="40EF4D51" w14:textId="77777777" w:rsidR="00D84031" w:rsidRDefault="007965BB">
      <w:r>
        <w:rPr>
          <w:color w:val="000000"/>
        </w:rPr>
        <w:t>Moreover, in recent decades, multilingual regions have been affected by a confluence of demographic, socio-economic, and sociocultural challenges. An aging population coupled with lower birthrates has strained these communities, leading to a decrease in the number of native speakers who can transmit their linguistic heritage to younger generations. The housing crisis affecting several of these regions, also driven by tourism, exacerbates this dilemma, as economic pressures force long-time residents to leave</w:t>
      </w:r>
      <w:r>
        <w:rPr>
          <w:color w:val="000000"/>
        </w:rPr>
        <w:t xml:space="preserve"> their ancestral homes. Migration, while enriching in diversity, often further dilutes the linguistic fabric as newcomers bring different linguistic traditions and younger generations gravitate toward globally dominant languages. The sociocultural landscape is equally challenging, with the loss of monolingual minority speakers and community life and the media environments that increasingly prioritize universal appeal and dominant languages over local authenticity.</w:t>
      </w:r>
    </w:p>
    <w:p w14:paraId="3775EAF4" w14:textId="77777777" w:rsidR="00D84031" w:rsidRDefault="007965BB">
      <w:r>
        <w:rPr>
          <w:color w:val="000000"/>
        </w:rPr>
        <w:t>The proposals should explore how these elements have changed the language situation in those areas and how the different regions have adapted to the new linguistic environment, and what are the effects on the local economy.</w:t>
      </w:r>
    </w:p>
    <w:p w14:paraId="41C353E7" w14:textId="77777777" w:rsidR="00D84031" w:rsidRDefault="007965BB">
      <w:r>
        <w:rPr>
          <w:color w:val="000000"/>
        </w:rPr>
        <w:lastRenderedPageBreak/>
        <w:t xml:space="preserve">Another element changing the game for language learning and safeguarding heritage are digital technologies. The projects should address the online presence of different </w:t>
      </w:r>
      <w:r>
        <w:rPr>
          <w:color w:val="000000"/>
        </w:rPr>
        <w:t>languages and explore how language technologies could overcome the deepening linguistic divide in the digital domain</w:t>
      </w:r>
      <w:r>
        <w:rPr>
          <w:vertAlign w:val="superscript"/>
        </w:rPr>
        <w:footnoteReference w:id="95"/>
      </w:r>
      <w:r>
        <w:rPr>
          <w:color w:val="000000"/>
        </w:rPr>
        <w:t>, while also documenting the availability of language data. Proposals should also look at the presence of different languages in different forms of media, arts and wider forms of cultural expressions. Projects could also explore how digital platforms and AI tools can aid in language preservation, especially for endangered regional languages.</w:t>
      </w:r>
    </w:p>
    <w:p w14:paraId="7D76A6C5" w14:textId="77777777" w:rsidR="00D84031" w:rsidRDefault="007965BB">
      <w:r>
        <w:rPr>
          <w:color w:val="000000"/>
        </w:rPr>
        <w:t>The projects should explore the non-linguistic benefits of language maintenance, regeneration and learning. They could also look at how multilingualism and maintaining and learning heritage languages affects people’s wellbeing, self-respect and health due to the comfort, lower stress and sense of security at being able to speak their first language and not have their identity challenged. The actions could propose ways to encourage and support multilingual education and intergenerational transmission, includ</w:t>
      </w:r>
      <w:r>
        <w:rPr>
          <w:color w:val="000000"/>
        </w:rPr>
        <w:t>ing formal and non-formal learning settings</w:t>
      </w:r>
    </w:p>
    <w:p w14:paraId="4BE8DC4F" w14:textId="77777777" w:rsidR="00D84031" w:rsidRDefault="007965BB">
      <w:r>
        <w:rPr>
          <w:color w:val="000000"/>
        </w:rPr>
        <w:t xml:space="preserve">The proposals should comprise transdisciplinary collaborations in resolving this issue involving, for instance and not exhaustive, linguistics, heritage and museum studies, media studies, theatre studies, literary studies, socio-economic, socio-cultural and migration studies etc. Available results of existing research on safeguarding linguistic diversity and multilingualism should be taken into consideration, while identification of needs for further research in the field should be promoted. Research could </w:t>
      </w:r>
      <w:r>
        <w:rPr>
          <w:color w:val="000000"/>
        </w:rPr>
        <w:t>explore, among others, the role of oral transmission and its gendered component, in safeguarding languages at risk and methods to ensure its conservation.</w:t>
      </w:r>
    </w:p>
    <w:p w14:paraId="3F58AF92" w14:textId="77777777" w:rsidR="00D84031" w:rsidRDefault="007965BB">
      <w:r>
        <w:rPr>
          <w:color w:val="000000"/>
        </w:rPr>
        <w:t>The projects should have a dedicated place for linguistic cartography (meaningful representations of linguistic diversity) and explore what are the challenges of assigning language to space; current language mapping projects, and what are the opportunities for improving language mapping with current technology.</w:t>
      </w:r>
    </w:p>
    <w:p w14:paraId="48544AF5" w14:textId="77777777" w:rsidR="00D84031" w:rsidRDefault="007965BB">
      <w:r>
        <w:rPr>
          <w:color w:val="000000"/>
        </w:rPr>
        <w:t>The projects could explore how language maps could serve as educational or research tools, to provide illustrations of linguistic and cultural diversity. Pursuing cultural awareness and cultural diversity understanding makes language mapping a significant research objective.</w:t>
      </w:r>
    </w:p>
    <w:p w14:paraId="64CC6774" w14:textId="77777777" w:rsidR="00D84031" w:rsidRDefault="007965BB">
      <w:r>
        <w:rPr>
          <w:color w:val="000000"/>
        </w:rPr>
        <w:t>Proposals should develop recommendations for promoting multilingualism in our societies and safeguarding of linguistic diversity, empowering citizens to take ownership for safeguarding their linguistic heritage. These recommendations should also aim at combating marginalisation of disadvantaged linguistic communities.</w:t>
      </w:r>
    </w:p>
    <w:p w14:paraId="10A9ADCD" w14:textId="77777777" w:rsidR="00D84031" w:rsidRDefault="007965BB">
      <w:r>
        <w:rPr>
          <w:color w:val="000000"/>
        </w:rPr>
        <w:t xml:space="preserve">Proposals should build on existing knowledge, activities, networks and platforms, notably the ones funded by the EU. For example, they could include past initiatives such as the 1996 Euromosaic study. The study documented the linguistic diversity of the 12 original EC countries and later of newer members which joined the EU. The Mercator European Research </w:t>
      </w:r>
      <w:r>
        <w:rPr>
          <w:color w:val="000000"/>
        </w:rPr>
        <w:lastRenderedPageBreak/>
        <w:t>Centre on Multilingualism also carried out many regional EU-funded dossiers, which would benefit from updating.</w:t>
      </w:r>
    </w:p>
    <w:p w14:paraId="587D5116" w14:textId="77777777" w:rsidR="00D84031" w:rsidRDefault="007965BB">
      <w:r>
        <w:rPr>
          <w:color w:val="000000"/>
        </w:rPr>
        <w:t xml:space="preserve">Synergies could also be created with the European Data Space for Languages and the ALT-EDIC initiative. </w:t>
      </w:r>
      <w:r>
        <w:rPr>
          <w:vertAlign w:val="superscript"/>
        </w:rPr>
        <w:footnoteReference w:id="96"/>
      </w:r>
    </w:p>
    <w:p w14:paraId="5A9C9AFF" w14:textId="77777777" w:rsidR="00D84031" w:rsidRDefault="007965BB">
      <w:r>
        <w:rPr>
          <w:color w:val="000000"/>
        </w:rPr>
        <w:t xml:space="preserve">Furthermore, links should be established and synergies sought with closely related actions, such as relevant R&amp;I actions funded by Horizon Europe or Horizon 2020. In particular, proposals should establish links to, and where appropriate build on findings from, projects funded under the topics HORIZON-CL2-2022-HERITAGE-01-01: Safeguarding endangered languages in Europe and ‘HORIZON-CL2-2024-HERITAGE-01-05: Strategies to strengthen the European linguistic capital in a globalised world. </w:t>
      </w:r>
    </w:p>
    <w:p w14:paraId="44F318F4" w14:textId="77777777" w:rsidR="00D84031" w:rsidRDefault="007965BB">
      <w:r>
        <w:rPr>
          <w:color w:val="000000"/>
        </w:rPr>
        <w:t>Proposals should engage local communities, citizens and civil society organisations, in the development of their actions, using participatory approaches.</w:t>
      </w:r>
    </w:p>
    <w:p w14:paraId="3D112D32" w14:textId="77777777" w:rsidR="00D84031" w:rsidRDefault="007965BB">
      <w:pPr>
        <w:pStyle w:val="HeadingThree"/>
      </w:pPr>
      <w:r>
        <w:t>HORIZON-CL2-2026-01-HERITAGE-07: Preventing and fighting illicit trafficking of cultural goods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27"/>
        <w:gridCol w:w="7175"/>
      </w:tblGrid>
      <w:tr w:rsidR="00C62CF4" w14:paraId="7174CCFF" w14:textId="77777777" w:rsidTr="00C62CF4">
        <w:tc>
          <w:tcPr>
            <w:tcW w:w="0" w:type="auto"/>
            <w:gridSpan w:val="2"/>
          </w:tcPr>
          <w:p w14:paraId="56FFA7DC" w14:textId="77777777" w:rsidR="00D84031" w:rsidRDefault="007965BB">
            <w:pPr>
              <w:pStyle w:val="CellTextValue"/>
            </w:pPr>
            <w:r>
              <w:rPr>
                <w:b/>
              </w:rPr>
              <w:t>Call: Culture, Creativity and Inclusive Society 2026</w:t>
            </w:r>
          </w:p>
        </w:tc>
      </w:tr>
      <w:tr w:rsidR="00C62CF4" w14:paraId="3D076C16" w14:textId="77777777" w:rsidTr="00C62CF4">
        <w:tc>
          <w:tcPr>
            <w:tcW w:w="0" w:type="auto"/>
            <w:gridSpan w:val="2"/>
          </w:tcPr>
          <w:p w14:paraId="28E93FE2" w14:textId="77777777" w:rsidR="00D84031" w:rsidRDefault="007965BB">
            <w:pPr>
              <w:pStyle w:val="CellTextValue"/>
            </w:pPr>
            <w:r>
              <w:rPr>
                <w:b/>
              </w:rPr>
              <w:t>Specific conditions</w:t>
            </w:r>
          </w:p>
        </w:tc>
      </w:tr>
      <w:tr w:rsidR="00D84031" w14:paraId="7B871974" w14:textId="77777777">
        <w:tc>
          <w:tcPr>
            <w:tcW w:w="0" w:type="auto"/>
          </w:tcPr>
          <w:p w14:paraId="60CA6247" w14:textId="77777777" w:rsidR="00D84031" w:rsidRDefault="007965BB">
            <w:pPr>
              <w:pStyle w:val="CellTextValue"/>
              <w:jc w:val="left"/>
            </w:pPr>
            <w:r>
              <w:rPr>
                <w:i/>
              </w:rPr>
              <w:t>Expected EU contribution per project</w:t>
            </w:r>
          </w:p>
        </w:tc>
        <w:tc>
          <w:tcPr>
            <w:tcW w:w="0" w:type="auto"/>
          </w:tcPr>
          <w:p w14:paraId="4F293946" w14:textId="77777777" w:rsidR="00D84031" w:rsidRDefault="007965BB">
            <w:pPr>
              <w:pStyle w:val="CellTextValue"/>
            </w:pPr>
            <w:r>
              <w:t xml:space="preserve">The Commission estimates that an EU contribution of between EUR 4.50 </w:t>
            </w:r>
            <w:r>
              <w:t>and 5.00 million would allow these outcomes to be addressed appropriately. Nonetheless, this does not preclude submission and selection of a proposal requesting different amounts.</w:t>
            </w:r>
          </w:p>
        </w:tc>
      </w:tr>
      <w:tr w:rsidR="00D84031" w14:paraId="5EC24460" w14:textId="77777777">
        <w:tc>
          <w:tcPr>
            <w:tcW w:w="0" w:type="auto"/>
          </w:tcPr>
          <w:p w14:paraId="08E86DFB" w14:textId="77777777" w:rsidR="00D84031" w:rsidRDefault="007965BB">
            <w:pPr>
              <w:pStyle w:val="CellTextValue"/>
              <w:jc w:val="left"/>
            </w:pPr>
            <w:r>
              <w:rPr>
                <w:i/>
              </w:rPr>
              <w:t>Indicative budget</w:t>
            </w:r>
          </w:p>
        </w:tc>
        <w:tc>
          <w:tcPr>
            <w:tcW w:w="0" w:type="auto"/>
          </w:tcPr>
          <w:p w14:paraId="57CFECF4" w14:textId="77777777" w:rsidR="00D84031" w:rsidRDefault="007965BB">
            <w:pPr>
              <w:pStyle w:val="CellTextValue"/>
            </w:pPr>
            <w:r>
              <w:t>The total indicative budget for the topic is EUR 5.00 million.</w:t>
            </w:r>
          </w:p>
        </w:tc>
      </w:tr>
      <w:tr w:rsidR="00D84031" w14:paraId="7D5A14E7" w14:textId="77777777">
        <w:tc>
          <w:tcPr>
            <w:tcW w:w="0" w:type="auto"/>
          </w:tcPr>
          <w:p w14:paraId="5DC5FAC1" w14:textId="77777777" w:rsidR="00D84031" w:rsidRDefault="007965BB">
            <w:pPr>
              <w:pStyle w:val="CellTextValue"/>
              <w:jc w:val="left"/>
            </w:pPr>
            <w:r>
              <w:rPr>
                <w:i/>
              </w:rPr>
              <w:t>Type of Action</w:t>
            </w:r>
          </w:p>
        </w:tc>
        <w:tc>
          <w:tcPr>
            <w:tcW w:w="0" w:type="auto"/>
          </w:tcPr>
          <w:p w14:paraId="0F319CD3" w14:textId="77777777" w:rsidR="00D84031" w:rsidRDefault="007965BB">
            <w:pPr>
              <w:pStyle w:val="CellTextValue"/>
            </w:pPr>
            <w:r>
              <w:rPr>
                <w:color w:val="000000"/>
              </w:rPr>
              <w:t>Coordination and Support Actions</w:t>
            </w:r>
          </w:p>
        </w:tc>
      </w:tr>
      <w:tr w:rsidR="00D84031" w14:paraId="4EC45B69" w14:textId="77777777">
        <w:tc>
          <w:tcPr>
            <w:tcW w:w="0" w:type="auto"/>
          </w:tcPr>
          <w:p w14:paraId="03E0E259" w14:textId="77777777" w:rsidR="00D84031" w:rsidRDefault="007965BB">
            <w:pPr>
              <w:pStyle w:val="CellTextValue"/>
              <w:jc w:val="left"/>
            </w:pPr>
            <w:r>
              <w:rPr>
                <w:i/>
              </w:rPr>
              <w:t>Eligibility conditions</w:t>
            </w:r>
          </w:p>
        </w:tc>
        <w:tc>
          <w:tcPr>
            <w:tcW w:w="0" w:type="auto"/>
          </w:tcPr>
          <w:p w14:paraId="655830B2" w14:textId="77777777" w:rsidR="00D84031" w:rsidRDefault="007965BB">
            <w:pPr>
              <w:pStyle w:val="CellTextValue"/>
            </w:pPr>
            <w:r>
              <w:rPr>
                <w:color w:val="000000"/>
              </w:rPr>
              <w:t>The conditions are described in General Annex B. The following exceptions apply:</w:t>
            </w:r>
          </w:p>
          <w:p w14:paraId="0350F7A2" w14:textId="77777777" w:rsidR="00D84031" w:rsidRDefault="007965BB">
            <w:pPr>
              <w:pStyle w:val="CellTextValue"/>
            </w:pPr>
            <w:r>
              <w:rPr>
                <w:color w:val="000000"/>
              </w:rPr>
              <w:t>Subject to restrictions for the protection of European communication networks.</w:t>
            </w:r>
          </w:p>
          <w:p w14:paraId="5438A298" w14:textId="77777777" w:rsidR="00D84031" w:rsidRDefault="007965BB">
            <w:pPr>
              <w:pStyle w:val="CellTextValue"/>
            </w:pPr>
            <w:r>
              <w:rPr>
                <w:color w:val="000000"/>
              </w:rPr>
              <w:t xml:space="preserve">Due to the </w:t>
            </w:r>
            <w:r>
              <w:rPr>
                <w:color w:val="000000"/>
              </w:rPr>
              <w:t>scope of this topic, legal entities established in non-associated third countries may exceptionally participate in this Coordination and Support Action as a beneficiary or affiliated entity and are exceptionally eligible for Union funding.</w:t>
            </w:r>
          </w:p>
          <w:p w14:paraId="1BC28986" w14:textId="77777777" w:rsidR="00D84031" w:rsidRDefault="007965BB">
            <w:pPr>
              <w:pStyle w:val="CellTextValue"/>
            </w:pPr>
            <w:r>
              <w:rPr>
                <w:color w:val="000000"/>
              </w:rPr>
              <w:t>If eligible for funding, legal entities established in non-associated third countries may exceptionally participate in this Coordination and support action as a beneficiary or affiliated entity.</w:t>
            </w:r>
          </w:p>
          <w:p w14:paraId="11229E2B" w14:textId="77777777" w:rsidR="00D84031" w:rsidRDefault="007965BB">
            <w:pPr>
              <w:pStyle w:val="CellTextValue"/>
            </w:pPr>
            <w:r>
              <w:rPr>
                <w:color w:val="000000"/>
              </w:rPr>
              <w:t xml:space="preserve">Subject to restrictions for the protection of European communication </w:t>
            </w:r>
            <w:r>
              <w:rPr>
                <w:color w:val="000000"/>
              </w:rPr>
              <w:lastRenderedPageBreak/>
              <w:t>networks.</w:t>
            </w:r>
          </w:p>
          <w:p w14:paraId="781A8BD8" w14:textId="77777777" w:rsidR="00D84031" w:rsidRDefault="007965BB">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p w14:paraId="2D73CE76" w14:textId="77777777" w:rsidR="00D84031" w:rsidRDefault="007965B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D84031" w14:paraId="763B6F3B" w14:textId="77777777">
        <w:tc>
          <w:tcPr>
            <w:tcW w:w="0" w:type="auto"/>
          </w:tcPr>
          <w:p w14:paraId="5DF39D1D" w14:textId="77777777" w:rsidR="00D84031" w:rsidRDefault="007965BB">
            <w:pPr>
              <w:pStyle w:val="CellTextValue"/>
              <w:jc w:val="left"/>
            </w:pPr>
            <w:r>
              <w:rPr>
                <w:i/>
              </w:rPr>
              <w:lastRenderedPageBreak/>
              <w:t>Procedure</w:t>
            </w:r>
          </w:p>
        </w:tc>
        <w:tc>
          <w:tcPr>
            <w:tcW w:w="0" w:type="auto"/>
          </w:tcPr>
          <w:p w14:paraId="65DF56CC" w14:textId="77777777" w:rsidR="00D84031" w:rsidRDefault="007965BB">
            <w:pPr>
              <w:pStyle w:val="CellTextValue"/>
            </w:pPr>
            <w:r>
              <w:rPr>
                <w:color w:val="000000"/>
              </w:rPr>
              <w:t>The procedure is described in General Annex F. The following exceptions apply:</w:t>
            </w:r>
          </w:p>
          <w:p w14:paraId="4411B437" w14:textId="77777777" w:rsidR="00D84031" w:rsidRDefault="007965BB">
            <w:pPr>
              <w:pStyle w:val="CellTextValue"/>
            </w:pPr>
            <w:r>
              <w:rPr>
                <w:color w:val="000000"/>
              </w:rPr>
              <w:t>The granting authority can fund a maximum of one project.</w:t>
            </w:r>
          </w:p>
        </w:tc>
      </w:tr>
      <w:tr w:rsidR="00D84031" w14:paraId="7F94868A" w14:textId="77777777">
        <w:tc>
          <w:tcPr>
            <w:tcW w:w="0" w:type="auto"/>
          </w:tcPr>
          <w:p w14:paraId="61270EB0" w14:textId="77777777" w:rsidR="00D84031" w:rsidRDefault="007965BB">
            <w:pPr>
              <w:pStyle w:val="CellTextValue"/>
              <w:jc w:val="left"/>
            </w:pPr>
            <w:r>
              <w:rPr>
                <w:i/>
              </w:rPr>
              <w:t>Legal and financial set-up of the Grant Agreements</w:t>
            </w:r>
          </w:p>
        </w:tc>
        <w:tc>
          <w:tcPr>
            <w:tcW w:w="0" w:type="auto"/>
          </w:tcPr>
          <w:p w14:paraId="326B5147" w14:textId="77777777" w:rsidR="00D84031" w:rsidRDefault="007965BB">
            <w:pPr>
              <w:pStyle w:val="CellTextValue"/>
            </w:pPr>
            <w:r>
              <w:rPr>
                <w:color w:val="000000"/>
              </w:rPr>
              <w:t>The rules are described in General Annex G. The following exceptions apply:</w:t>
            </w:r>
          </w:p>
          <w:p w14:paraId="5A19D461"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97"/>
            </w:r>
            <w:r>
              <w:rPr>
                <w:color w:val="000000"/>
              </w:rPr>
              <w:t>.</w:t>
            </w:r>
          </w:p>
          <w:p w14:paraId="2BF560EF" w14:textId="77777777" w:rsidR="00D84031" w:rsidRDefault="007965BB">
            <w:pPr>
              <w:pStyle w:val="CellTextValue"/>
            </w:pPr>
            <w:r>
              <w:rPr>
                <w:color w:val="000000"/>
              </w:rPr>
              <w:t xml:space="preserve">Beneficiaries may provide financial support to third parties up to 15% of the EU funding. The support to third parties can only be </w:t>
            </w:r>
            <w:r>
              <w:rPr>
                <w:color w:val="000000"/>
              </w:rPr>
              <w:t>provided in the form of grants. The maximum amount to be granted to each third party is EUR 60 000.</w:t>
            </w:r>
          </w:p>
        </w:tc>
      </w:tr>
      <w:tr w:rsidR="00D84031" w14:paraId="6D2465B6" w14:textId="77777777">
        <w:tc>
          <w:tcPr>
            <w:tcW w:w="0" w:type="auto"/>
          </w:tcPr>
          <w:p w14:paraId="7FFA548A" w14:textId="77777777" w:rsidR="00D84031" w:rsidRDefault="007965BB">
            <w:pPr>
              <w:pStyle w:val="CellTextValue"/>
              <w:jc w:val="left"/>
            </w:pPr>
            <w:r>
              <w:rPr>
                <w:i/>
              </w:rPr>
              <w:t>Eligibility and admissibility conditions</w:t>
            </w:r>
          </w:p>
        </w:tc>
        <w:tc>
          <w:tcPr>
            <w:tcW w:w="0" w:type="auto"/>
          </w:tcPr>
          <w:p w14:paraId="418A2E70" w14:textId="77777777" w:rsidR="00D84031" w:rsidRDefault="007965BB">
            <w:pPr>
              <w:pStyle w:val="CellTextValue"/>
            </w:pPr>
            <w:r>
              <w:rPr>
                <w:color w:val="000000"/>
              </w:rPr>
              <w:t xml:space="preserve">This topic requires the active involvement, as beneficiaries, of at least three law enforcement authorities from at least three different EU Member States or Associated Countries and, at least two beneficiaries should be scientific research institutions working on illicit trafficking in the specific field of Cultural Heritage. </w:t>
            </w:r>
          </w:p>
        </w:tc>
      </w:tr>
    </w:tbl>
    <w:p w14:paraId="285EEDF5" w14:textId="77777777" w:rsidR="00D84031" w:rsidRDefault="00D84031">
      <w:pPr>
        <w:spacing w:after="0" w:line="150" w:lineRule="auto"/>
      </w:pPr>
    </w:p>
    <w:p w14:paraId="5CDB86C6" w14:textId="77777777" w:rsidR="00D84031" w:rsidRDefault="007965BB">
      <w:r>
        <w:rPr>
          <w:u w:val="single"/>
        </w:rPr>
        <w:t>Expected Outcome</w:t>
      </w:r>
      <w:r>
        <w:t xml:space="preserve">: </w:t>
      </w:r>
      <w:r>
        <w:rPr>
          <w:color w:val="000000"/>
        </w:rPr>
        <w:t>Projects should contribute to all of the following expected outcomes:</w:t>
      </w:r>
    </w:p>
    <w:p w14:paraId="6CCE51AA" w14:textId="77777777" w:rsidR="00D84031" w:rsidRDefault="007965BB" w:rsidP="00C62CF4">
      <w:pPr>
        <w:pStyle w:val="ListParagraph"/>
        <w:numPr>
          <w:ilvl w:val="0"/>
          <w:numId w:val="43"/>
        </w:numPr>
      </w:pPr>
      <w:r>
        <w:rPr>
          <w:color w:val="000000"/>
        </w:rPr>
        <w:t>Increased evidence collection and intelligence gathering, effective cross-border and cross-domain cooperation and uptake by the Law Enforcement Authorities (LEA) and experts of the consolidated tools and platforms within their operational systems and methodologies in accordance with the different user’s requirements.</w:t>
      </w:r>
    </w:p>
    <w:p w14:paraId="421FCAA3" w14:textId="77777777" w:rsidR="00D84031" w:rsidRDefault="007965BB" w:rsidP="00C62CF4">
      <w:pPr>
        <w:pStyle w:val="ListParagraph"/>
        <w:numPr>
          <w:ilvl w:val="0"/>
          <w:numId w:val="43"/>
        </w:numPr>
      </w:pPr>
      <w:r>
        <w:rPr>
          <w:color w:val="000000"/>
        </w:rPr>
        <w:lastRenderedPageBreak/>
        <w:t xml:space="preserve">Capacity building and consolidated training ecosystem, developed with concrete, validated, actionable, interactive training materials tailored to the specific needs of different user groups across EU Member States and beyond. </w:t>
      </w:r>
    </w:p>
    <w:p w14:paraId="58ADADFF" w14:textId="77777777" w:rsidR="00D84031" w:rsidRDefault="007965BB" w:rsidP="00C62CF4">
      <w:pPr>
        <w:pStyle w:val="ListParagraph"/>
        <w:numPr>
          <w:ilvl w:val="0"/>
          <w:numId w:val="43"/>
        </w:numPr>
      </w:pPr>
      <w:r>
        <w:rPr>
          <w:color w:val="000000"/>
        </w:rPr>
        <w:t>European law enforcement, judiciary and other competent authorities and practitioners gain a better understanding and enhanced capabilities in addressing crimes related to cultural heritage thanks to the consolidations of existing solutions, tailored training workshops and practical learning materials.</w:t>
      </w:r>
    </w:p>
    <w:p w14:paraId="19F9073A" w14:textId="77777777" w:rsidR="00D84031" w:rsidRDefault="007965BB" w:rsidP="00C62CF4">
      <w:pPr>
        <w:pStyle w:val="ListParagraph"/>
        <w:numPr>
          <w:ilvl w:val="0"/>
          <w:numId w:val="43"/>
        </w:numPr>
      </w:pPr>
      <w:r>
        <w:rPr>
          <w:color w:val="000000"/>
        </w:rPr>
        <w:t xml:space="preserve">Actionable solutions to the threat to cultural heritage trafficking by illicit excavations and use of metal </w:t>
      </w:r>
      <w:r>
        <w:rPr>
          <w:color w:val="000000"/>
        </w:rPr>
        <w:t>detectors that do not necessarily amount to organised crime but are still illegal activities that considerably endanger Europe’s cultural heritage, as well as cultural heritage in third countries.</w:t>
      </w:r>
    </w:p>
    <w:p w14:paraId="0196EBA7" w14:textId="77777777" w:rsidR="00D84031" w:rsidRDefault="007965BB" w:rsidP="00C62CF4">
      <w:pPr>
        <w:pStyle w:val="ListParagraph"/>
        <w:numPr>
          <w:ilvl w:val="0"/>
          <w:numId w:val="43"/>
        </w:numPr>
      </w:pPr>
      <w:r>
        <w:rPr>
          <w:color w:val="000000"/>
        </w:rPr>
        <w:t xml:space="preserve">A robust and long-term sustainable support framework and plan which will ensure and make operational a long-term cooperation in the prevention and fight of illicit trafficking of cultural goods. </w:t>
      </w:r>
    </w:p>
    <w:p w14:paraId="15DB2642" w14:textId="77777777" w:rsidR="00D84031" w:rsidRDefault="007965BB">
      <w:r>
        <w:rPr>
          <w:u w:val="single"/>
        </w:rPr>
        <w:t>Scope</w:t>
      </w:r>
      <w:r>
        <w:t xml:space="preserve">: </w:t>
      </w:r>
      <w:r>
        <w:rPr>
          <w:color w:val="000000"/>
        </w:rPr>
        <w:t>Trafficking in cultural goods is a serious crime that poses significant threats to cultural heritage, particularly in conflict and crisis areas. This illicit trade involves the illegal import, export, and transfer of ownership of valuable cultural items, including theft from institutions and private collections, looting of archaeological sites, assets laundering and forgery of cultural goods. At the EU level, combatting cultural goods’ trafficking is supported by the EU Security Union Strategy 2020-2025</w:t>
      </w:r>
      <w:r>
        <w:rPr>
          <w:vertAlign w:val="superscript"/>
        </w:rPr>
        <w:footnoteReference w:id="98"/>
      </w:r>
      <w:r>
        <w:rPr>
          <w:color w:val="000000"/>
        </w:rPr>
        <w:t>, the EU Strategy to Tackle Organised Crime 2021-2025</w:t>
      </w:r>
      <w:r>
        <w:rPr>
          <w:vertAlign w:val="superscript"/>
        </w:rPr>
        <w:footnoteReference w:id="99"/>
      </w:r>
      <w:r>
        <w:rPr>
          <w:color w:val="000000"/>
        </w:rPr>
        <w:t>, the EU action plan against trafficking in cultural goods</w:t>
      </w:r>
      <w:r>
        <w:rPr>
          <w:vertAlign w:val="superscript"/>
        </w:rPr>
        <w:footnoteReference w:id="100"/>
      </w:r>
      <w:r>
        <w:rPr>
          <w:color w:val="000000"/>
        </w:rPr>
        <w:t xml:space="preserve"> and the related Council Conclusions</w:t>
      </w:r>
      <w:r>
        <w:rPr>
          <w:vertAlign w:val="superscript"/>
        </w:rPr>
        <w:footnoteReference w:id="101"/>
      </w:r>
      <w:r>
        <w:rPr>
          <w:color w:val="000000"/>
        </w:rPr>
        <w:t xml:space="preserve">, </w:t>
      </w:r>
      <w:r>
        <w:rPr>
          <w:vertAlign w:val="superscript"/>
        </w:rPr>
        <w:footnoteReference w:id="102"/>
      </w:r>
      <w:r>
        <w:rPr>
          <w:color w:val="000000"/>
        </w:rPr>
        <w:t>,</w:t>
      </w:r>
      <w:r>
        <w:rPr>
          <w:vertAlign w:val="superscript"/>
        </w:rPr>
        <w:footnoteReference w:id="103"/>
      </w:r>
      <w:r>
        <w:rPr>
          <w:color w:val="000000"/>
        </w:rPr>
        <w:t>, the EU Serious and Organised Crime Threat Assessment (EU-SOCTA)</w:t>
      </w:r>
      <w:r>
        <w:rPr>
          <w:vertAlign w:val="superscript"/>
        </w:rPr>
        <w:footnoteReference w:id="104"/>
      </w:r>
      <w:r>
        <w:rPr>
          <w:color w:val="000000"/>
        </w:rPr>
        <w:t xml:space="preserve">. Cultural goods’ trafficking is a highly specialised criminal market. The criminals range from specialised criminal networks to corrupt </w:t>
      </w:r>
      <w:r>
        <w:rPr>
          <w:color w:val="000000"/>
        </w:rPr>
        <w:t>dealers or expert dark web traders. Criminal networks and actors active in the area of cultural goods trafficking are characterised by a high degree of expertise and specialised knowledge</w:t>
      </w:r>
      <w:r>
        <w:rPr>
          <w:vertAlign w:val="superscript"/>
        </w:rPr>
        <w:footnoteReference w:id="105"/>
      </w:r>
      <w:r>
        <w:rPr>
          <w:color w:val="000000"/>
        </w:rPr>
        <w:t>. To overtake the challenges there is the necessity to use advanced analytics, including machine learning and AI technologies, in order to curate, process and share large volumes of dynamic interoperable and high-quality data and transforming it into meaningful intelligence. By facilitating data exchange across borders and between stakeholders, it would ensure real-time access to relevant information, enhancing collaboration and coordination.</w:t>
      </w:r>
    </w:p>
    <w:p w14:paraId="13577B7C" w14:textId="77777777" w:rsidR="00D84031" w:rsidRDefault="007965BB">
      <w:r>
        <w:rPr>
          <w:color w:val="000000"/>
        </w:rPr>
        <w:lastRenderedPageBreak/>
        <w:t>Proposals should strongly build on existing expertise and developments, focusing on (1) creating integrations and operational interface between existing systems (including LEA systems) and the solutions developed to trace, protect, safeguard and repatriate goods, including intelligence gathering systems and methodologies to enhance evidence collection and support evidence preventing and combating crimes through data and network analysis; (2) fostering the adoption of the aforementioned systems by LEA and br</w:t>
      </w:r>
      <w:r>
        <w:rPr>
          <w:color w:val="000000"/>
        </w:rPr>
        <w:t>inging them to market readiness level to ensure their effective impact on combating illicit trafficking cases; (3) strengthening the collaboration between the different stakeholders providing effective tools and actionable training materials for boosting capacity in cataloguing and provenance information analysis; (4) ensuring data quality, robust data governance and data interoperability across stakeholders and cross borders; (5) provide support to evidence collection thanks to the analysis and interpolati</w:t>
      </w:r>
      <w:r>
        <w:rPr>
          <w:color w:val="000000"/>
        </w:rPr>
        <w:t>on of information and cross-domain intelligence.</w:t>
      </w:r>
    </w:p>
    <w:p w14:paraId="1E290A4B" w14:textId="77777777" w:rsidR="00D84031" w:rsidRDefault="007965BB">
      <w:r>
        <w:rPr>
          <w:color w:val="000000"/>
        </w:rPr>
        <w:t>Proposals should design and consolidate the solution space, tools and the training ecosystem to demonstrate real uptake and adoption and ensure they reflect the priorities of diverse personas, including law enforcement authorities, customs officials, cultural heritage professionals, and policymakers. The training ecosystem should build on the results and findings of relevant national and EU-funded projects, such as for example OPFA-CULT, in order to leverage existing knowledge and avoid duplication of effor</w:t>
      </w:r>
      <w:r>
        <w:rPr>
          <w:color w:val="000000"/>
        </w:rPr>
        <w:t>t. The development of these materials should be integrated with existing EU and international legal frameworks and measures on the trafficking of cultural goods, including those applicable beyond EU borders</w:t>
      </w:r>
      <w:r>
        <w:rPr>
          <w:vertAlign w:val="superscript"/>
        </w:rPr>
        <w:footnoteReference w:id="106"/>
      </w:r>
      <w:r>
        <w:rPr>
          <w:color w:val="000000"/>
        </w:rPr>
        <w:t xml:space="preserve"> </w:t>
      </w:r>
      <w:r>
        <w:rPr>
          <w:vertAlign w:val="superscript"/>
        </w:rPr>
        <w:footnoteReference w:id="107"/>
      </w:r>
      <w:r>
        <w:rPr>
          <w:color w:val="000000"/>
        </w:rPr>
        <w:t xml:space="preserve"> </w:t>
      </w:r>
      <w:r>
        <w:rPr>
          <w:vertAlign w:val="superscript"/>
        </w:rPr>
        <w:footnoteReference w:id="108"/>
      </w:r>
      <w:r>
        <w:rPr>
          <w:color w:val="000000"/>
        </w:rPr>
        <w:t>.</w:t>
      </w:r>
    </w:p>
    <w:p w14:paraId="277CB0F5" w14:textId="77777777" w:rsidR="00D84031" w:rsidRDefault="007965BB">
      <w:r>
        <w:rPr>
          <w:color w:val="000000"/>
        </w:rPr>
        <w:t>The proposals should build on the achievements and findings of related previous national and EU-funded projects as well as create complementarities or synergies with projects and European research infrastructures in the field, such as, for example the ones funded under Horizon Europe Cluster 2 and Cluster 3, ERC, the Internal Security Fund (ISF) and the Community for European Research and Innovation for Security (CERIS), Creative Europe, the Union Civil Protection Mechanism (UCPM), the European research inf</w:t>
      </w:r>
      <w:r>
        <w:rPr>
          <w:color w:val="000000"/>
        </w:rPr>
        <w:t>rastructure for heritage science (E-RIHS) in order to avoid duplication or the development of new tools and to exploit opportunities for increased impact and consolidation. Proposals are encouraged to seek synergies, and collaboration, with relevant initiatives already developed from international stakeholders working in the field of cultural heritage as well as in the security sector. Scientists and practitioners doing research in the field of Cultural Heritage (such as archaeologists, museologists, art hi</w:t>
      </w:r>
      <w:r>
        <w:rPr>
          <w:color w:val="000000"/>
        </w:rPr>
        <w:t>storians or related fields) must have an essential role in the production of the outputs assuring that they efficiently take into account the real needs and problems of the field, as well as in ensuring scientific quality of information and data.</w:t>
      </w:r>
    </w:p>
    <w:p w14:paraId="759D70B1" w14:textId="77777777" w:rsidR="00D84031" w:rsidRDefault="007965BB">
      <w:r>
        <w:rPr>
          <w:color w:val="000000"/>
        </w:rPr>
        <w:lastRenderedPageBreak/>
        <w:t>Proposals are encouraged to actively collaborate, create synergies and developments with the European Collaborative Cloud for Cultural Heritage (ECCCH)</w:t>
      </w:r>
      <w:r>
        <w:rPr>
          <w:vertAlign w:val="superscript"/>
        </w:rPr>
        <w:footnoteReference w:id="109"/>
      </w:r>
      <w:r>
        <w:rPr>
          <w:color w:val="000000"/>
        </w:rPr>
        <w:t xml:space="preserve"> and the Europol Innovation Lab during the lifetime of the project, including validating the outcomes, with the aim of facilitating future uptake of innovations for the law enforcement community. Proposals should ensure alignment on the formats and standards used to exchange interoperable high-quality data with the Cultural Heritage Cloud.</w:t>
      </w:r>
    </w:p>
    <w:p w14:paraId="33F93C03" w14:textId="77777777" w:rsidR="00D84031" w:rsidRDefault="007965BB">
      <w:r>
        <w:rPr>
          <w:color w:val="000000"/>
        </w:rPr>
        <w:t>Beneficiaries may plan their activities opting to provide Financial Support to Third Parties in order to support practitioners (such as Police Authorities, Non-Governmental Organisations/Civil Society Organisations, cultural and creative industries [CCIs], research groups and communities of practitioners in the field of Cultural Heritage) for expanding the proposed work in terms of, for instance, additional user groups and needs, complementary assessments, technology- or methodology-testing activities. Prop</w:t>
      </w:r>
      <w:r>
        <w:rPr>
          <w:color w:val="000000"/>
        </w:rPr>
        <w:t>osals funded under this topic are expected to actively develop and configure a long-term sustainable model and cooperation framework which will ensure long term engagement beyond the duration of the funding. Particular emphasis should be placed on the co-creation of a detailed, realistic, and jointly agreed roadmap to ensure functionality after the project ends. The model needs to be already validated and operational before the end of the funded project. The scope of the research should include under-studie</w:t>
      </w:r>
      <w:r>
        <w:rPr>
          <w:color w:val="000000"/>
        </w:rPr>
        <w:t>d regions, zones in conflict areas and under environmental disasters, considering existing initiatives, for example the Recommendation on Safeguarding Cultural Heritage in Ukraine</w:t>
      </w:r>
      <w:r>
        <w:rPr>
          <w:vertAlign w:val="superscript"/>
        </w:rPr>
        <w:footnoteReference w:id="110"/>
      </w:r>
      <w:r>
        <w:rPr>
          <w:color w:val="000000"/>
        </w:rPr>
        <w:t>.</w:t>
      </w:r>
    </w:p>
    <w:p w14:paraId="7B800B24" w14:textId="77777777" w:rsidR="00D84031" w:rsidRDefault="007965BB">
      <w:pPr>
        <w:pStyle w:val="HeadingThree"/>
      </w:pPr>
      <w:r>
        <w:t>EUROPE’S SUSTAINABLE PROSPERITY AND COMPETITIVENESS</w:t>
      </w:r>
    </w:p>
    <w:p w14:paraId="7A384BED" w14:textId="77777777" w:rsidR="00D84031" w:rsidRDefault="007965BB">
      <w:pPr>
        <w:pStyle w:val="HeadingThree"/>
      </w:pPr>
      <w:r>
        <w:t>HORIZON-CL2-2027-01-HERITAGE-01: Towards a consolidated culture and creativity driven European innovation ecosystem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7BA552C2" w14:textId="77777777" w:rsidTr="00C62CF4">
        <w:tc>
          <w:tcPr>
            <w:tcW w:w="0" w:type="auto"/>
            <w:gridSpan w:val="2"/>
          </w:tcPr>
          <w:p w14:paraId="5CC5BA02" w14:textId="77777777" w:rsidR="00D84031" w:rsidRDefault="007965BB">
            <w:pPr>
              <w:pStyle w:val="CellTextValue"/>
            </w:pPr>
            <w:r>
              <w:rPr>
                <w:b/>
              </w:rPr>
              <w:t>Call: Culture, Creativity and Inclusive Society - 2027</w:t>
            </w:r>
          </w:p>
        </w:tc>
      </w:tr>
      <w:tr w:rsidR="00C62CF4" w14:paraId="3C4F9E22" w14:textId="77777777" w:rsidTr="00C62CF4">
        <w:tc>
          <w:tcPr>
            <w:tcW w:w="0" w:type="auto"/>
            <w:gridSpan w:val="2"/>
          </w:tcPr>
          <w:p w14:paraId="1064C4DB" w14:textId="77777777" w:rsidR="00D84031" w:rsidRDefault="007965BB">
            <w:pPr>
              <w:pStyle w:val="CellTextValue"/>
            </w:pPr>
            <w:r>
              <w:rPr>
                <w:b/>
              </w:rPr>
              <w:t>Specific conditions</w:t>
            </w:r>
          </w:p>
        </w:tc>
      </w:tr>
      <w:tr w:rsidR="00D84031" w14:paraId="60A9C536" w14:textId="77777777">
        <w:tc>
          <w:tcPr>
            <w:tcW w:w="0" w:type="auto"/>
          </w:tcPr>
          <w:p w14:paraId="55724469" w14:textId="77777777" w:rsidR="00D84031" w:rsidRDefault="007965BB">
            <w:pPr>
              <w:pStyle w:val="CellTextValue"/>
              <w:jc w:val="left"/>
            </w:pPr>
            <w:r>
              <w:rPr>
                <w:i/>
              </w:rPr>
              <w:t>Expected EU contribution per project</w:t>
            </w:r>
          </w:p>
        </w:tc>
        <w:tc>
          <w:tcPr>
            <w:tcW w:w="0" w:type="auto"/>
          </w:tcPr>
          <w:p w14:paraId="1BB7439E" w14:textId="77777777" w:rsidR="00D84031" w:rsidRDefault="007965BB">
            <w:pPr>
              <w:pStyle w:val="CellTextValue"/>
            </w:pPr>
            <w:r>
              <w:t xml:space="preserve">The Commission estimates that an EU contribution of around EUR 5.00 million would allow these outcomes to be addressed appropriately. Nonetheless, this does not preclude submission and </w:t>
            </w:r>
            <w:r>
              <w:t>selection of a proposal requesting different amounts.</w:t>
            </w:r>
          </w:p>
        </w:tc>
      </w:tr>
      <w:tr w:rsidR="00D84031" w14:paraId="29D49725" w14:textId="77777777">
        <w:tc>
          <w:tcPr>
            <w:tcW w:w="0" w:type="auto"/>
          </w:tcPr>
          <w:p w14:paraId="6BFF8706" w14:textId="77777777" w:rsidR="00D84031" w:rsidRDefault="007965BB">
            <w:pPr>
              <w:pStyle w:val="CellTextValue"/>
              <w:jc w:val="left"/>
            </w:pPr>
            <w:r>
              <w:rPr>
                <w:i/>
              </w:rPr>
              <w:t>Indicative budget</w:t>
            </w:r>
          </w:p>
        </w:tc>
        <w:tc>
          <w:tcPr>
            <w:tcW w:w="0" w:type="auto"/>
          </w:tcPr>
          <w:p w14:paraId="44EBEC49" w14:textId="77777777" w:rsidR="00D84031" w:rsidRDefault="007965BB">
            <w:pPr>
              <w:pStyle w:val="CellTextValue"/>
            </w:pPr>
            <w:r>
              <w:t>The total indicative budget for the topic is EUR 5.00 million.</w:t>
            </w:r>
          </w:p>
        </w:tc>
      </w:tr>
      <w:tr w:rsidR="00D84031" w14:paraId="20E5E8D2" w14:textId="77777777">
        <w:tc>
          <w:tcPr>
            <w:tcW w:w="0" w:type="auto"/>
          </w:tcPr>
          <w:p w14:paraId="5BB72C20" w14:textId="77777777" w:rsidR="00D84031" w:rsidRDefault="007965BB">
            <w:pPr>
              <w:pStyle w:val="CellTextValue"/>
              <w:jc w:val="left"/>
            </w:pPr>
            <w:r>
              <w:rPr>
                <w:i/>
              </w:rPr>
              <w:t>Type of Action</w:t>
            </w:r>
          </w:p>
        </w:tc>
        <w:tc>
          <w:tcPr>
            <w:tcW w:w="0" w:type="auto"/>
          </w:tcPr>
          <w:p w14:paraId="1D249E9F" w14:textId="77777777" w:rsidR="00D84031" w:rsidRDefault="007965BB">
            <w:pPr>
              <w:pStyle w:val="CellTextValue"/>
            </w:pPr>
            <w:r>
              <w:rPr>
                <w:color w:val="000000"/>
              </w:rPr>
              <w:t>Coordination and Support Actions</w:t>
            </w:r>
          </w:p>
        </w:tc>
      </w:tr>
      <w:tr w:rsidR="00D84031" w14:paraId="758CE5BA" w14:textId="77777777">
        <w:tc>
          <w:tcPr>
            <w:tcW w:w="0" w:type="auto"/>
          </w:tcPr>
          <w:p w14:paraId="2F217677" w14:textId="77777777" w:rsidR="00D84031" w:rsidRDefault="007965BB">
            <w:pPr>
              <w:pStyle w:val="CellTextValue"/>
              <w:jc w:val="left"/>
            </w:pPr>
            <w:r>
              <w:rPr>
                <w:i/>
              </w:rPr>
              <w:t>Eligibility conditions</w:t>
            </w:r>
          </w:p>
        </w:tc>
        <w:tc>
          <w:tcPr>
            <w:tcW w:w="0" w:type="auto"/>
          </w:tcPr>
          <w:p w14:paraId="31CA7338" w14:textId="77777777" w:rsidR="00D84031" w:rsidRDefault="007965BB">
            <w:pPr>
              <w:pStyle w:val="CellTextValue"/>
            </w:pPr>
            <w:r>
              <w:rPr>
                <w:color w:val="000000"/>
              </w:rPr>
              <w:t xml:space="preserve">The conditions are described in General </w:t>
            </w:r>
            <w:r>
              <w:rPr>
                <w:color w:val="000000"/>
              </w:rPr>
              <w:t>Annex B. The following exceptions apply:</w:t>
            </w:r>
          </w:p>
          <w:p w14:paraId="3EB309D4" w14:textId="77777777" w:rsidR="00D84031" w:rsidRDefault="007965BB">
            <w:pPr>
              <w:pStyle w:val="CellTextValue"/>
            </w:pPr>
            <w:r>
              <w:rPr>
                <w:color w:val="000000"/>
              </w:rPr>
              <w:lastRenderedPageBreak/>
              <w:t>Due to the scope of this topic, legal entities established in non-associated third countries may exceptionally participate in this Coordination and Support Action as a beneficiary or affiliated entity and are exceptionally eligible for Union funding.</w:t>
            </w:r>
          </w:p>
        </w:tc>
      </w:tr>
      <w:tr w:rsidR="00D84031" w14:paraId="4CE2E39B" w14:textId="77777777">
        <w:tc>
          <w:tcPr>
            <w:tcW w:w="0" w:type="auto"/>
          </w:tcPr>
          <w:p w14:paraId="3955F6FF" w14:textId="77777777" w:rsidR="00D84031" w:rsidRDefault="007965BB">
            <w:pPr>
              <w:pStyle w:val="CellTextValue"/>
              <w:jc w:val="left"/>
            </w:pPr>
            <w:r>
              <w:rPr>
                <w:i/>
              </w:rPr>
              <w:lastRenderedPageBreak/>
              <w:t>Procedure</w:t>
            </w:r>
          </w:p>
        </w:tc>
        <w:tc>
          <w:tcPr>
            <w:tcW w:w="0" w:type="auto"/>
          </w:tcPr>
          <w:p w14:paraId="31F17A2A" w14:textId="77777777" w:rsidR="00D84031" w:rsidRDefault="007965BB">
            <w:pPr>
              <w:pStyle w:val="CellTextValue"/>
            </w:pPr>
            <w:r>
              <w:rPr>
                <w:color w:val="000000"/>
              </w:rPr>
              <w:t>The procedure is described in General Annex F. The following exceptions apply:</w:t>
            </w:r>
          </w:p>
          <w:p w14:paraId="17E87BD2" w14:textId="77777777" w:rsidR="00D84031" w:rsidRDefault="007965BB">
            <w:pPr>
              <w:pStyle w:val="CellTextValue"/>
            </w:pPr>
            <w:r>
              <w:rPr>
                <w:color w:val="000000"/>
              </w:rPr>
              <w:t>The granting authority can fund a maximum of one project.</w:t>
            </w:r>
          </w:p>
        </w:tc>
      </w:tr>
      <w:tr w:rsidR="00D84031" w14:paraId="7863436A" w14:textId="77777777">
        <w:tc>
          <w:tcPr>
            <w:tcW w:w="0" w:type="auto"/>
          </w:tcPr>
          <w:p w14:paraId="3742939E" w14:textId="77777777" w:rsidR="00D84031" w:rsidRDefault="007965BB">
            <w:pPr>
              <w:pStyle w:val="CellTextValue"/>
              <w:jc w:val="left"/>
            </w:pPr>
            <w:r>
              <w:rPr>
                <w:i/>
              </w:rPr>
              <w:t>Legal and financial set-up of the Grant Agreements</w:t>
            </w:r>
          </w:p>
        </w:tc>
        <w:tc>
          <w:tcPr>
            <w:tcW w:w="0" w:type="auto"/>
          </w:tcPr>
          <w:p w14:paraId="1025D3DE" w14:textId="77777777" w:rsidR="00D84031" w:rsidRDefault="007965BB">
            <w:pPr>
              <w:pStyle w:val="CellTextValue"/>
            </w:pPr>
            <w:r>
              <w:rPr>
                <w:color w:val="000000"/>
              </w:rPr>
              <w:t xml:space="preserve">The rules are </w:t>
            </w:r>
            <w:r>
              <w:rPr>
                <w:color w:val="000000"/>
              </w:rPr>
              <w:t>described in General Annex G. The following exceptions apply:</w:t>
            </w:r>
          </w:p>
          <w:p w14:paraId="163D995C" w14:textId="77777777" w:rsidR="00D84031" w:rsidRDefault="007965BB">
            <w:pPr>
              <w:pStyle w:val="CellTextValue"/>
            </w:pPr>
            <w:r>
              <w:rPr>
                <w:color w:val="000000"/>
              </w:rPr>
              <w:t>Beneficiaries may provide financial support to third parties. The support to third parties can only be provided in the form of grants. The maximum amount to be granted to each third party is EUR 60 000</w:t>
            </w:r>
          </w:p>
          <w:p w14:paraId="54310A41"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11"/>
            </w:r>
            <w:r>
              <w:rPr>
                <w:color w:val="000000"/>
              </w:rPr>
              <w:t>.</w:t>
            </w:r>
          </w:p>
        </w:tc>
      </w:tr>
    </w:tbl>
    <w:p w14:paraId="131E379D" w14:textId="77777777" w:rsidR="00D84031" w:rsidRDefault="00D84031">
      <w:pPr>
        <w:spacing w:after="0" w:line="150" w:lineRule="auto"/>
      </w:pPr>
    </w:p>
    <w:p w14:paraId="0948507D" w14:textId="77777777" w:rsidR="00D84031" w:rsidRDefault="007965BB">
      <w:r>
        <w:rPr>
          <w:u w:val="single"/>
        </w:rPr>
        <w:t>Expected Outcome</w:t>
      </w:r>
      <w:r>
        <w:t xml:space="preserve">: </w:t>
      </w:r>
      <w:r>
        <w:rPr>
          <w:color w:val="000000"/>
        </w:rPr>
        <w:t>Projects should contribute to all of the following expected outcomes:</w:t>
      </w:r>
    </w:p>
    <w:p w14:paraId="364485B5" w14:textId="77777777" w:rsidR="00D84031" w:rsidRDefault="007965BB" w:rsidP="00C62CF4">
      <w:pPr>
        <w:pStyle w:val="ListParagraph"/>
        <w:numPr>
          <w:ilvl w:val="0"/>
          <w:numId w:val="44"/>
        </w:numPr>
      </w:pPr>
      <w:r>
        <w:rPr>
          <w:color w:val="000000"/>
        </w:rPr>
        <w:t>The number and impact of CCI</w:t>
      </w:r>
      <w:r>
        <w:rPr>
          <w:vertAlign w:val="superscript"/>
        </w:rPr>
        <w:footnoteReference w:id="112"/>
      </w:r>
      <w:r>
        <w:rPr>
          <w:color w:val="000000"/>
        </w:rPr>
        <w:t xml:space="preserve">-driven innovations in </w:t>
      </w:r>
      <w:r>
        <w:rPr>
          <w:color w:val="000000"/>
        </w:rPr>
        <w:t>Europe are increased thanks to a wide uptake of evidence-based measures stemming from EU-funded research. These results are followed up with appropriate assessments and Key Performance Indicators.</w:t>
      </w:r>
    </w:p>
    <w:p w14:paraId="7DCA305D" w14:textId="77777777" w:rsidR="00D84031" w:rsidRDefault="007965BB" w:rsidP="00C62CF4">
      <w:pPr>
        <w:pStyle w:val="ListParagraph"/>
        <w:numPr>
          <w:ilvl w:val="0"/>
          <w:numId w:val="44"/>
        </w:numPr>
      </w:pPr>
      <w:r>
        <w:rPr>
          <w:color w:val="000000"/>
        </w:rPr>
        <w:t>Innovation driven by the cultural and creative industries continues to be boosted beyond project funding through a long-term economically sustainable ecosystem.</w:t>
      </w:r>
    </w:p>
    <w:p w14:paraId="50AE6827" w14:textId="77777777" w:rsidR="00D84031" w:rsidRDefault="007965BB" w:rsidP="00C62CF4">
      <w:pPr>
        <w:pStyle w:val="ListParagraph"/>
        <w:numPr>
          <w:ilvl w:val="0"/>
          <w:numId w:val="44"/>
        </w:numPr>
      </w:pPr>
      <w:r>
        <w:rPr>
          <w:color w:val="000000"/>
        </w:rPr>
        <w:t xml:space="preserve">A vision of European CCIs as an essential engine of sustainable innovation and competitiveness is broadly established, making CCIs a natural part of European, national, regional and local innovation efforts. </w:t>
      </w:r>
    </w:p>
    <w:p w14:paraId="4DDE907C" w14:textId="77777777" w:rsidR="00D84031" w:rsidRDefault="007965BB">
      <w:r>
        <w:rPr>
          <w:u w:val="single"/>
        </w:rPr>
        <w:t>Scope</w:t>
      </w:r>
      <w:r>
        <w:t xml:space="preserve">: </w:t>
      </w:r>
      <w:r>
        <w:rPr>
          <w:color w:val="000000"/>
        </w:rPr>
        <w:t xml:space="preserve">The transition towards a consolidated culture- and creativity-driven European innovation ecosystem represents a strategic imperative for Europe's future competitiveness and societal resilience. In an era where technological advancements alone no longer guarantee competitiveness, the CCIs emerge as essential drivers of transformative change and prosperity. It is necessary to unlock the innovative power of Europe’s cultural and creative </w:t>
      </w:r>
      <w:r>
        <w:rPr>
          <w:color w:val="000000"/>
        </w:rPr>
        <w:lastRenderedPageBreak/>
        <w:t>industries both in themselves and as drivers of innovation in other eco</w:t>
      </w:r>
      <w:r>
        <w:rPr>
          <w:color w:val="000000"/>
        </w:rPr>
        <w:t>nomic sectors. CCIs shape new technologies and can contribute to user-driven innovation, open innovation and cross-sectoral innovation</w:t>
      </w:r>
      <w:r>
        <w:rPr>
          <w:vertAlign w:val="superscript"/>
        </w:rPr>
        <w:footnoteReference w:id="113"/>
      </w:r>
      <w:r>
        <w:rPr>
          <w:color w:val="000000"/>
        </w:rPr>
        <w:t>. CCIs are often the first to find productive uses for new technologies and establish meaningful connections between different technologies, thus paving the way for wider uptake that improves productivity and competitiveness in the wider economy. Europe’s CCIs can thus act as a crucial technology incubator, in addition to their wider societal contributions such as to cultural wealth, social cohesion and resilience.</w:t>
      </w:r>
    </w:p>
    <w:p w14:paraId="6E59C999" w14:textId="77777777" w:rsidR="00D84031" w:rsidRDefault="007965BB">
      <w:r>
        <w:rPr>
          <w:color w:val="000000"/>
        </w:rPr>
        <w:t>Significant research and innovation efforts have been made to boost CCIs and strengthen them as engines of innovation. Notably, Horizon Europe’s Cluster 2 has launched more than 30 R&amp;I projects with the collective objective to boost a culture and creativity driven European innovation ecosystem</w:t>
      </w:r>
      <w:r>
        <w:rPr>
          <w:vertAlign w:val="superscript"/>
        </w:rPr>
        <w:footnoteReference w:id="114"/>
      </w:r>
      <w:r>
        <w:rPr>
          <w:color w:val="000000"/>
        </w:rPr>
        <w:t>, establishing a collaborative platform for this purpose</w:t>
      </w:r>
      <w:r>
        <w:rPr>
          <w:vertAlign w:val="superscript"/>
        </w:rPr>
        <w:footnoteReference w:id="115"/>
      </w:r>
      <w:r>
        <w:rPr>
          <w:color w:val="000000"/>
        </w:rPr>
        <w:t>. Furthermore, the European Institute for Innovation and Technology has established a Knowledge and Innovation Community for the Cultural and Creative Sectors and Industries</w:t>
      </w:r>
      <w:r>
        <w:rPr>
          <w:vertAlign w:val="superscript"/>
        </w:rPr>
        <w:footnoteReference w:id="116"/>
      </w:r>
      <w:r>
        <w:rPr>
          <w:color w:val="000000"/>
        </w:rPr>
        <w:t>, and a Large-Scale Partnership for the Cultural and Creative Industries Ecosystem has been set up under the EU Pact for Skills</w:t>
      </w:r>
      <w:r>
        <w:rPr>
          <w:vertAlign w:val="superscript"/>
        </w:rPr>
        <w:footnoteReference w:id="117"/>
      </w:r>
      <w:r>
        <w:rPr>
          <w:color w:val="000000"/>
        </w:rPr>
        <w:t xml:space="preserve"> .</w:t>
      </w:r>
    </w:p>
    <w:p w14:paraId="0597E9A6" w14:textId="77777777" w:rsidR="00D84031" w:rsidRDefault="007965BB">
      <w:r>
        <w:rPr>
          <w:color w:val="000000"/>
        </w:rPr>
        <w:t xml:space="preserve">The challenge is to build on, consolidate and complement, as appropriate, the key results such as technologies, solutions, methods, networks and platforms developed by these R&amp;I projects and initiatives as well as by other relevant actions, with the objective to achieve long-term impact in terms of thriving CCIs that proactively engage in innovation and achieve significant economic growth. </w:t>
      </w:r>
    </w:p>
    <w:p w14:paraId="2FEB2A8C" w14:textId="77777777" w:rsidR="00D84031" w:rsidRDefault="007965BB">
      <w:r>
        <w:rPr>
          <w:color w:val="000000"/>
        </w:rPr>
        <w:t>The project funded under this topic should build on and improve existing innovation ecosystems to make them effective for the CCIs. Difficulties to properly boost CCI-driven innovation need to be overcome, such as those linked to CCIs consisting mainly of small and micro enterprises with difficulties to fit into commonly applied innovation support models based on fast-growth startups, challenges in properly valuing the IPR of CCIs, inconsistencies between cultural and innovation policies, or issues linked t</w:t>
      </w:r>
      <w:r>
        <w:rPr>
          <w:color w:val="000000"/>
        </w:rPr>
        <w:t xml:space="preserve">o the particularities of CCI entrepreneurs. Solutions should go beyond common practice in innovation support and deploy for example portfolio approaches that make clusters of organisations investable entities. The project does not need to seek standardised approaches that work across the full diversity of the CCIs and of EU Member States and Associated Countries but should allow for taking local contexts into account. Nevertheless, the project should seek to establish common principles and active knowledge </w:t>
      </w:r>
      <w:r>
        <w:rPr>
          <w:color w:val="000000"/>
        </w:rPr>
        <w:t>exchange across Europe.</w:t>
      </w:r>
    </w:p>
    <w:p w14:paraId="6BCBFAE6" w14:textId="77777777" w:rsidR="00D84031" w:rsidRDefault="007965BB">
      <w:r>
        <w:rPr>
          <w:color w:val="000000"/>
        </w:rPr>
        <w:lastRenderedPageBreak/>
        <w:t>To properly follow up the results of its work, the project should develop suitable Key Performance Indicators and assessment frameworks, including with a base line for the initial situation.</w:t>
      </w:r>
    </w:p>
    <w:p w14:paraId="0B6532AF" w14:textId="77777777" w:rsidR="00D84031" w:rsidRDefault="007965BB">
      <w:r>
        <w:rPr>
          <w:color w:val="000000"/>
        </w:rPr>
        <w:t>In order to achieve an enduring impact, the project should ensure long-term economically sustainable ecosystems. To be effective, it is important that the project, as appropriate, builds on previous work as well as complements and links to ongoing related initiatives. The long-term sustainable ecosystems should therefore, as appropriate, build on existing networks and/or platforms, and should involve the key stakeholders, covering most EU Member States and Associated Countries as well as a wide range of CCI</w:t>
      </w:r>
      <w:r>
        <w:rPr>
          <w:color w:val="000000"/>
        </w:rPr>
        <w:t xml:space="preserve">s. Proposals should include an outline of the sustainable and adaptable economic model envisaged, but do not need to describe it in full detail. </w:t>
      </w:r>
    </w:p>
    <w:p w14:paraId="4456110E" w14:textId="77777777" w:rsidR="00D84031" w:rsidRDefault="007965BB">
      <w:r>
        <w:rPr>
          <w:color w:val="000000"/>
        </w:rPr>
        <w:t>In order to engage entities which are not part of the project consortium, such as important innovation support actors or CCIs, projects may award financial support to third parties. Such support can only be given in the form of grants.</w:t>
      </w:r>
    </w:p>
    <w:p w14:paraId="34D929BE" w14:textId="77777777" w:rsidR="00D84031" w:rsidRDefault="007965BB">
      <w:r>
        <w:rPr>
          <w:color w:val="000000"/>
        </w:rPr>
        <w:t>The Commission estimates that a project duration of at least 5 years is appropriate, in order to be able to achieve the expected long-term impacts. In order to achieve the topic’s expected outcomes, international cooperation is encouraged.</w:t>
      </w:r>
    </w:p>
    <w:p w14:paraId="0A2327D5" w14:textId="77777777" w:rsidR="00D84031" w:rsidRDefault="007965BB">
      <w:pPr>
        <w:pStyle w:val="HeadingThree"/>
      </w:pPr>
      <w:r>
        <w:t xml:space="preserve">HORIZON-CL2-2027-01-HERITAGE-02: AI4Creatives Support Platform: embracing a fair AI revolution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C62CF4" w14:paraId="31DDEF87" w14:textId="77777777" w:rsidTr="00C62CF4">
        <w:tc>
          <w:tcPr>
            <w:tcW w:w="0" w:type="auto"/>
            <w:gridSpan w:val="2"/>
          </w:tcPr>
          <w:p w14:paraId="01BBC6A3" w14:textId="77777777" w:rsidR="00D84031" w:rsidRDefault="007965BB">
            <w:pPr>
              <w:pStyle w:val="CellTextValue"/>
            </w:pPr>
            <w:r>
              <w:rPr>
                <w:b/>
              </w:rPr>
              <w:t>Call: Culture, Creativity and Inclusive Society - 2027</w:t>
            </w:r>
          </w:p>
        </w:tc>
      </w:tr>
      <w:tr w:rsidR="00C62CF4" w14:paraId="43906835" w14:textId="77777777" w:rsidTr="00C62CF4">
        <w:tc>
          <w:tcPr>
            <w:tcW w:w="0" w:type="auto"/>
            <w:gridSpan w:val="2"/>
          </w:tcPr>
          <w:p w14:paraId="2A3AE32A" w14:textId="77777777" w:rsidR="00D84031" w:rsidRDefault="007965BB">
            <w:pPr>
              <w:pStyle w:val="CellTextValue"/>
            </w:pPr>
            <w:r>
              <w:rPr>
                <w:b/>
              </w:rPr>
              <w:t>Specific conditions</w:t>
            </w:r>
          </w:p>
        </w:tc>
      </w:tr>
      <w:tr w:rsidR="00D84031" w14:paraId="64A02220" w14:textId="77777777">
        <w:tc>
          <w:tcPr>
            <w:tcW w:w="0" w:type="auto"/>
          </w:tcPr>
          <w:p w14:paraId="15FA963E" w14:textId="77777777" w:rsidR="00D84031" w:rsidRDefault="007965BB">
            <w:pPr>
              <w:pStyle w:val="CellTextValue"/>
              <w:jc w:val="left"/>
            </w:pPr>
            <w:r>
              <w:rPr>
                <w:i/>
              </w:rPr>
              <w:t>Expected EU contribution per project</w:t>
            </w:r>
          </w:p>
        </w:tc>
        <w:tc>
          <w:tcPr>
            <w:tcW w:w="0" w:type="auto"/>
          </w:tcPr>
          <w:p w14:paraId="49628BF5" w14:textId="77777777" w:rsidR="00D84031" w:rsidRDefault="007965BB">
            <w:pPr>
              <w:pStyle w:val="CellTextValue"/>
            </w:pPr>
            <w:r>
              <w:t xml:space="preserve">The Commission estimates that an EU contribution of between EUR 4.50 and 5.00 million would </w:t>
            </w:r>
            <w:r>
              <w:t>allow these outcomes to be addressed appropriately. Nonetheless, this does not preclude submission and selection of a proposal requesting different amounts.</w:t>
            </w:r>
          </w:p>
        </w:tc>
      </w:tr>
      <w:tr w:rsidR="00D84031" w14:paraId="2D72BC5F" w14:textId="77777777">
        <w:tc>
          <w:tcPr>
            <w:tcW w:w="0" w:type="auto"/>
          </w:tcPr>
          <w:p w14:paraId="6E4A0395" w14:textId="77777777" w:rsidR="00D84031" w:rsidRDefault="007965BB">
            <w:pPr>
              <w:pStyle w:val="CellTextValue"/>
              <w:jc w:val="left"/>
            </w:pPr>
            <w:r>
              <w:rPr>
                <w:i/>
              </w:rPr>
              <w:t>Indicative budget</w:t>
            </w:r>
          </w:p>
        </w:tc>
        <w:tc>
          <w:tcPr>
            <w:tcW w:w="0" w:type="auto"/>
          </w:tcPr>
          <w:p w14:paraId="287862CB" w14:textId="77777777" w:rsidR="00D84031" w:rsidRDefault="007965BB">
            <w:pPr>
              <w:pStyle w:val="CellTextValue"/>
            </w:pPr>
            <w:r>
              <w:t>The total indicative budget for the topic is EUR 5.00 million.</w:t>
            </w:r>
          </w:p>
        </w:tc>
      </w:tr>
      <w:tr w:rsidR="00D84031" w14:paraId="3A9F8A3B" w14:textId="77777777">
        <w:tc>
          <w:tcPr>
            <w:tcW w:w="0" w:type="auto"/>
          </w:tcPr>
          <w:p w14:paraId="25B14BF3" w14:textId="77777777" w:rsidR="00D84031" w:rsidRDefault="007965BB">
            <w:pPr>
              <w:pStyle w:val="CellTextValue"/>
              <w:jc w:val="left"/>
            </w:pPr>
            <w:r>
              <w:rPr>
                <w:i/>
              </w:rPr>
              <w:t xml:space="preserve">Type of </w:t>
            </w:r>
            <w:r>
              <w:rPr>
                <w:i/>
              </w:rPr>
              <w:t>Action</w:t>
            </w:r>
          </w:p>
        </w:tc>
        <w:tc>
          <w:tcPr>
            <w:tcW w:w="0" w:type="auto"/>
          </w:tcPr>
          <w:p w14:paraId="1DBB6F0A" w14:textId="77777777" w:rsidR="00D84031" w:rsidRDefault="007965BB">
            <w:pPr>
              <w:pStyle w:val="CellTextValue"/>
            </w:pPr>
            <w:r>
              <w:rPr>
                <w:color w:val="000000"/>
              </w:rPr>
              <w:t>Coordination and Support Actions</w:t>
            </w:r>
          </w:p>
        </w:tc>
      </w:tr>
      <w:tr w:rsidR="00D84031" w14:paraId="1A8AECA7" w14:textId="77777777">
        <w:tc>
          <w:tcPr>
            <w:tcW w:w="0" w:type="auto"/>
          </w:tcPr>
          <w:p w14:paraId="1586CABC" w14:textId="77777777" w:rsidR="00D84031" w:rsidRDefault="007965BB">
            <w:pPr>
              <w:pStyle w:val="CellTextValue"/>
              <w:jc w:val="left"/>
            </w:pPr>
            <w:r>
              <w:rPr>
                <w:i/>
              </w:rPr>
              <w:t>Eligibility conditions</w:t>
            </w:r>
          </w:p>
        </w:tc>
        <w:tc>
          <w:tcPr>
            <w:tcW w:w="0" w:type="auto"/>
          </w:tcPr>
          <w:p w14:paraId="6F1C44D8" w14:textId="77777777" w:rsidR="00D84031" w:rsidRDefault="007965BB">
            <w:pPr>
              <w:pStyle w:val="CellTextValue"/>
            </w:pPr>
            <w:r>
              <w:rPr>
                <w:color w:val="000000"/>
              </w:rPr>
              <w:t>The conditions are described in General Annex B. The following exceptions apply:</w:t>
            </w:r>
          </w:p>
          <w:p w14:paraId="2A89F54D" w14:textId="77777777" w:rsidR="00D84031" w:rsidRDefault="007965BB">
            <w:pPr>
              <w:pStyle w:val="CellTextValue"/>
            </w:pPr>
            <w:r>
              <w:rPr>
                <w:color w:val="000000"/>
              </w:rPr>
              <w:t>Subject to restrictions for the protection of European communication networks.</w:t>
            </w:r>
          </w:p>
          <w:p w14:paraId="099454EE" w14:textId="77777777" w:rsidR="00D84031" w:rsidRDefault="007965BB">
            <w:pPr>
              <w:pStyle w:val="CellTextValue"/>
            </w:pPr>
            <w:r>
              <w:rPr>
                <w:color w:val="000000"/>
              </w:rPr>
              <w:t>If eligible for funding, legal entities established in non-associated third countries may exceptionally participate in this Coordination and support action as a beneficiary or affiliated entity.</w:t>
            </w:r>
          </w:p>
        </w:tc>
      </w:tr>
      <w:tr w:rsidR="00D84031" w14:paraId="1676A168" w14:textId="77777777">
        <w:tc>
          <w:tcPr>
            <w:tcW w:w="0" w:type="auto"/>
          </w:tcPr>
          <w:p w14:paraId="5EA5935D" w14:textId="77777777" w:rsidR="00D84031" w:rsidRDefault="007965BB">
            <w:pPr>
              <w:pStyle w:val="CellTextValue"/>
              <w:jc w:val="left"/>
            </w:pPr>
            <w:r>
              <w:rPr>
                <w:i/>
              </w:rPr>
              <w:t>Procedure</w:t>
            </w:r>
          </w:p>
        </w:tc>
        <w:tc>
          <w:tcPr>
            <w:tcW w:w="0" w:type="auto"/>
          </w:tcPr>
          <w:p w14:paraId="111348AE" w14:textId="77777777" w:rsidR="00D84031" w:rsidRDefault="007965BB">
            <w:pPr>
              <w:pStyle w:val="CellTextValue"/>
            </w:pPr>
            <w:r>
              <w:rPr>
                <w:color w:val="000000"/>
              </w:rPr>
              <w:t xml:space="preserve">The procedure is described in General Annex F. The following </w:t>
            </w:r>
            <w:r>
              <w:rPr>
                <w:color w:val="000000"/>
              </w:rPr>
              <w:lastRenderedPageBreak/>
              <w:t>exceptions apply:</w:t>
            </w:r>
          </w:p>
          <w:p w14:paraId="2BD7F249" w14:textId="77777777" w:rsidR="00D84031" w:rsidRDefault="007965BB">
            <w:pPr>
              <w:pStyle w:val="CellTextValue"/>
            </w:pPr>
            <w:r>
              <w:rPr>
                <w:color w:val="000000"/>
              </w:rPr>
              <w:t>The granting authority can fund a maximum of one project.</w:t>
            </w:r>
          </w:p>
        </w:tc>
      </w:tr>
      <w:tr w:rsidR="00D84031" w14:paraId="0659B988" w14:textId="77777777">
        <w:tc>
          <w:tcPr>
            <w:tcW w:w="0" w:type="auto"/>
          </w:tcPr>
          <w:p w14:paraId="601ABFD0" w14:textId="77777777" w:rsidR="00D84031" w:rsidRDefault="007965BB">
            <w:pPr>
              <w:pStyle w:val="CellTextValue"/>
              <w:jc w:val="left"/>
            </w:pPr>
            <w:r>
              <w:rPr>
                <w:i/>
              </w:rPr>
              <w:lastRenderedPageBreak/>
              <w:t>Legal and financial set-up of the Grant Agreements</w:t>
            </w:r>
          </w:p>
        </w:tc>
        <w:tc>
          <w:tcPr>
            <w:tcW w:w="0" w:type="auto"/>
          </w:tcPr>
          <w:p w14:paraId="7D3D6EC4" w14:textId="77777777" w:rsidR="00D84031" w:rsidRDefault="007965BB">
            <w:pPr>
              <w:pStyle w:val="CellTextValue"/>
            </w:pPr>
            <w:r>
              <w:rPr>
                <w:color w:val="000000"/>
              </w:rPr>
              <w:t>The rules are described in General Annex G. The following exceptions apply:</w:t>
            </w:r>
          </w:p>
          <w:p w14:paraId="38CF5E19"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18"/>
            </w:r>
            <w:r>
              <w:rPr>
                <w:color w:val="000000"/>
              </w:rPr>
              <w:t>.</w:t>
            </w:r>
          </w:p>
        </w:tc>
      </w:tr>
    </w:tbl>
    <w:p w14:paraId="3B2F3EB8" w14:textId="77777777" w:rsidR="00D84031" w:rsidRDefault="00D84031">
      <w:pPr>
        <w:spacing w:after="0" w:line="150" w:lineRule="auto"/>
      </w:pPr>
    </w:p>
    <w:p w14:paraId="1E85E80C" w14:textId="77777777" w:rsidR="00D84031" w:rsidRDefault="007965BB">
      <w:r>
        <w:rPr>
          <w:u w:val="single"/>
        </w:rPr>
        <w:t>Expected Outcome</w:t>
      </w:r>
      <w:r>
        <w:t xml:space="preserve">: </w:t>
      </w:r>
      <w:r>
        <w:rPr>
          <w:color w:val="000000"/>
        </w:rPr>
        <w:t>Projects should contribute to all of the following expected outcomes:</w:t>
      </w:r>
    </w:p>
    <w:p w14:paraId="1223C79D" w14:textId="77777777" w:rsidR="00D84031" w:rsidRDefault="007965BB" w:rsidP="00C62CF4">
      <w:pPr>
        <w:pStyle w:val="ListParagraph"/>
        <w:numPr>
          <w:ilvl w:val="0"/>
          <w:numId w:val="45"/>
        </w:numPr>
      </w:pPr>
      <w:r>
        <w:rPr>
          <w:color w:val="000000"/>
        </w:rPr>
        <w:t xml:space="preserve">The cultural and creative sectors and industries (CCSI) have </w:t>
      </w:r>
      <w:r>
        <w:rPr>
          <w:color w:val="000000"/>
        </w:rPr>
        <w:t>access to a dedicated European virtual AI support platform. This hub will facilitate collaboration among a strong and open network of CCSI networks, professionals, researchers, AI tech companies, creative startups, ethical AI experts, rights management infrastructures, other industries with a shared interest in the field of AI for culture and creativity and a focus on research and innovation.</w:t>
      </w:r>
    </w:p>
    <w:p w14:paraId="01AD8ECE" w14:textId="77777777" w:rsidR="00D84031" w:rsidRDefault="007965BB" w:rsidP="00C62CF4">
      <w:pPr>
        <w:pStyle w:val="ListParagraph"/>
        <w:numPr>
          <w:ilvl w:val="0"/>
          <w:numId w:val="45"/>
        </w:numPr>
      </w:pPr>
      <w:r>
        <w:rPr>
          <w:color w:val="000000"/>
        </w:rPr>
        <w:t>The AI4Creatives Support Platform provides easy access to shared services, expertise, capacity building, training, and tools needed to design, develop and adopt AI solutions tailored to cultural and creative processes and needs, enhancing innovation and competitiveness.</w:t>
      </w:r>
    </w:p>
    <w:p w14:paraId="7A4C3439" w14:textId="77777777" w:rsidR="00D84031" w:rsidRDefault="007965BB" w:rsidP="00C62CF4">
      <w:pPr>
        <w:pStyle w:val="ListParagraph"/>
        <w:numPr>
          <w:ilvl w:val="0"/>
          <w:numId w:val="45"/>
        </w:numPr>
      </w:pPr>
      <w:r>
        <w:rPr>
          <w:color w:val="000000"/>
        </w:rPr>
        <w:t xml:space="preserve">Filling a gap, the platform enables the development and sharing of AI applications that adhere to EU values, principles and regulations, implementing transparency, ethical standards, promoting cultural diversity, addressing biases, and ensuring equitable access to culture and creativity.  </w:t>
      </w:r>
    </w:p>
    <w:p w14:paraId="587C622C" w14:textId="77777777" w:rsidR="00D84031" w:rsidRDefault="007965BB">
      <w:r>
        <w:rPr>
          <w:u w:val="single"/>
        </w:rPr>
        <w:t>Scope</w:t>
      </w:r>
      <w:r>
        <w:t xml:space="preserve">: </w:t>
      </w:r>
      <w:r>
        <w:rPr>
          <w:color w:val="000000"/>
        </w:rPr>
        <w:t>This topic addresses the pressing need to coordinate, support, disseminate and capitalise on relevant outcomes from Horizon Europe Cluster 2-funded projects aimed to equip CCSI to leverage the digital transformation, from other relevant Horizon Europe projects, and from initiatives exploring AI in relation to CCSI under other EU programmes, such as the AI Continent Action Plan, (including AI Gigafactories, GenAI4EU, Apply AI and the forthcoming AI strategy for cultural and creative sectors and industries)</w:t>
      </w:r>
      <w:r>
        <w:rPr>
          <w:color w:val="000000"/>
        </w:rPr>
        <w:t>, AI Innovation package, and others. The aim is maximising their impact and driving innovation and competitiveness.</w:t>
      </w:r>
    </w:p>
    <w:p w14:paraId="36CF1F4E" w14:textId="77777777" w:rsidR="00D84031" w:rsidRDefault="007965BB">
      <w:r>
        <w:rPr>
          <w:color w:val="000000"/>
        </w:rPr>
        <w:lastRenderedPageBreak/>
        <w:t>AI offers significant opportunities for CCSI, but challenges persist, including skill gaps, limited interaction with technology partners, structural weaknesses of CCSI, mostly small and micro enterprises with weak bargaining power against big tech providers, and limited resources to train dedicated AI models. Other challenges relate to AI ethics and transparency and questionable regard for intellectual property rights, including copyright. By transcending siloed approaches and establishing synergies, CCSI c</w:t>
      </w:r>
      <w:r>
        <w:rPr>
          <w:color w:val="000000"/>
        </w:rPr>
        <w:t>an take advantage of economies of scale, harness AI's potential and drive innovation. The goal is establishing a permanent, networked reference point for CCSI through a virtual support platform that builds capacity and facilitates networking and collaboration among CCSI, stakeholders, researchers, technology developers, AI ethicists, and other industries and startups, with the overall aim to enable artists, cultural professionals, creative companies and cultural organisations to engage with AI, including de</w:t>
      </w:r>
      <w:r>
        <w:rPr>
          <w:color w:val="000000"/>
        </w:rPr>
        <w:t>aling with biases and risks. The Support Platform is expected to enable the CCSI to access and utilize available custom-made tools, quality data, resources, knowledge, training, and AI applications aligned with their specific needs and with EU principles and regulations, thus easing the adoption of appropriate innovative ethical solutions and approaches tailored to the CCSI. Among the possible functions of the Support Platform should be:</w:t>
      </w:r>
    </w:p>
    <w:p w14:paraId="42F0CDB3" w14:textId="77777777" w:rsidR="00D84031" w:rsidRDefault="007965BB" w:rsidP="00C62CF4">
      <w:pPr>
        <w:pStyle w:val="ListParagraph"/>
        <w:numPr>
          <w:ilvl w:val="0"/>
          <w:numId w:val="46"/>
        </w:numPr>
      </w:pPr>
      <w:r>
        <w:rPr>
          <w:color w:val="000000"/>
        </w:rPr>
        <w:t>Disseminate or develop frameworks, standards, best practices, and toolkits serving as strategic guidance for integrating ethical AI into CCSI value chains.</w:t>
      </w:r>
    </w:p>
    <w:p w14:paraId="2B10281E" w14:textId="77777777" w:rsidR="00D84031" w:rsidRDefault="007965BB" w:rsidP="00C62CF4">
      <w:pPr>
        <w:pStyle w:val="ListParagraph"/>
        <w:numPr>
          <w:ilvl w:val="0"/>
          <w:numId w:val="46"/>
        </w:numPr>
      </w:pPr>
      <w:r>
        <w:rPr>
          <w:color w:val="000000"/>
        </w:rPr>
        <w:t>Facilitate cross-sector collaboration, synergies, and partnerships between CCSI professionals, AI tech companies, and startups, liaising with initiatives like the European Collaborative Cloud for Cultural Heritage (ECCCH), AI Factories, research infrastructures on cultural heritage and digital humanities, European Digital Innovation Hubs, ALT EDIC and LLMs4EU, European Data Space for cultural heritage and other data spaces, and other EU initiatives in this area.</w:t>
      </w:r>
    </w:p>
    <w:p w14:paraId="25DFC371" w14:textId="77777777" w:rsidR="00D84031" w:rsidRDefault="007965BB" w:rsidP="00C62CF4">
      <w:pPr>
        <w:pStyle w:val="ListParagraph"/>
        <w:numPr>
          <w:ilvl w:val="0"/>
          <w:numId w:val="46"/>
        </w:numPr>
      </w:pPr>
      <w:r>
        <w:rPr>
          <w:color w:val="000000"/>
        </w:rPr>
        <w:t>Build and develop a solid copyright infrastructure to support the use and licensing of copyright-protected content in the context of AI.</w:t>
      </w:r>
    </w:p>
    <w:p w14:paraId="145996E7" w14:textId="77777777" w:rsidR="00D84031" w:rsidRDefault="007965BB" w:rsidP="00C62CF4">
      <w:pPr>
        <w:pStyle w:val="ListParagraph"/>
        <w:numPr>
          <w:ilvl w:val="0"/>
          <w:numId w:val="46"/>
        </w:numPr>
      </w:pPr>
      <w:r>
        <w:rPr>
          <w:color w:val="000000"/>
        </w:rPr>
        <w:t>Suggest education and training frameworks and provide training to foster effective AI use in CCSI. Encourage CCSI and SMEs to engage with available federated data sources, digital infrastructures, computational resources, other available platforms to develop their own AI-powered products and services.</w:t>
      </w:r>
    </w:p>
    <w:p w14:paraId="4BFECF05" w14:textId="77777777" w:rsidR="00D84031" w:rsidRDefault="007965BB" w:rsidP="00C62CF4">
      <w:pPr>
        <w:pStyle w:val="ListParagraph"/>
        <w:numPr>
          <w:ilvl w:val="0"/>
          <w:numId w:val="46"/>
        </w:numPr>
      </w:pPr>
      <w:r>
        <w:rPr>
          <w:color w:val="000000"/>
        </w:rPr>
        <w:t>Develop a roadmap for emerging challenges in AI and other emerging technologies related to culture and creativity.</w:t>
      </w:r>
    </w:p>
    <w:p w14:paraId="0958C803" w14:textId="77777777" w:rsidR="00D84031" w:rsidRDefault="007965BB" w:rsidP="00C62CF4">
      <w:pPr>
        <w:pStyle w:val="ListParagraph"/>
        <w:numPr>
          <w:ilvl w:val="0"/>
          <w:numId w:val="46"/>
        </w:numPr>
      </w:pPr>
      <w:r>
        <w:rPr>
          <w:color w:val="000000"/>
        </w:rPr>
        <w:t xml:space="preserve">Engage in policy dialogues with policymakers, industry leaders, and stakeholders to emphasize culture's contribution to quality, ethical, and fair AI developments.  </w:t>
      </w:r>
    </w:p>
    <w:p w14:paraId="2DFDE2B9" w14:textId="77777777" w:rsidR="00D84031" w:rsidRDefault="007965BB">
      <w:r>
        <w:rPr>
          <w:color w:val="000000"/>
        </w:rPr>
        <w:t>The platform is expected to develop and operate based on a robust sustainability and business model, ensuring long-term viability beyond the initial project phase. The business model should align with the platform’s objectives, ensuring it remains accessible to diverse organisations in terms of size and resources and that funding is not dominated by special interest groups.</w:t>
      </w:r>
    </w:p>
    <w:p w14:paraId="7FEF9F8E" w14:textId="77777777" w:rsidR="00D84031" w:rsidRDefault="007965BB">
      <w:r>
        <w:rPr>
          <w:color w:val="000000"/>
        </w:rPr>
        <w:lastRenderedPageBreak/>
        <w:t>The project should liaise with the EIT KIC Culture and Creativity to establish synergies, exchange information, and enhance mutual outcomes and impact. It should build on Horizon Europe funded projects in the area of AI and CCSI, particularly those funded under topics HORIZON-CL2-2025-01-HERITAGE-04: Leveraging artificial intelligence for creativity-driven innovation, HORIZON-CL2-2026-01-HERITAGE-03: AI integration in CCSI work practice: catalysing innovation and competitiveness, HORIZON-CL2-2026-01-HERITAG</w:t>
      </w:r>
      <w:r>
        <w:rPr>
          <w:color w:val="000000"/>
        </w:rPr>
        <w:t>E-04: Towards a fair and transparent market for cultural and creative content in the era of generative AI, and establish synergies with relevant projects, and initiatives supported by other relevant EU programmes, such as Digital Europe, Creative Europe and their successors. The project should conduct a pilot of the virtual platform to ensure alignment with CCSI needs, assessing technical and operational feasibility to ensure sustainability over time. The virtual Support Platform should be fully operational</w:t>
      </w:r>
      <w:r>
        <w:rPr>
          <w:color w:val="000000"/>
        </w:rPr>
        <w:t xml:space="preserve"> by the project's conclusion.</w:t>
      </w:r>
    </w:p>
    <w:p w14:paraId="26C90E50" w14:textId="77777777" w:rsidR="00D84031" w:rsidRDefault="007965BB">
      <w:pPr>
        <w:pStyle w:val="HeadingThree"/>
      </w:pPr>
      <w:r>
        <w:t>HORIZON-CL2-2027-01-HERITAGE-03: Crafting routes to a circular economy</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7C95CEDA" w14:textId="77777777" w:rsidTr="00C62CF4">
        <w:tc>
          <w:tcPr>
            <w:tcW w:w="0" w:type="auto"/>
            <w:gridSpan w:val="2"/>
          </w:tcPr>
          <w:p w14:paraId="0A36D321" w14:textId="77777777" w:rsidR="00D84031" w:rsidRDefault="007965BB">
            <w:pPr>
              <w:pStyle w:val="CellTextValue"/>
            </w:pPr>
            <w:r>
              <w:rPr>
                <w:b/>
              </w:rPr>
              <w:t>Call: Culture, Creativity and Inclusive Society - 2027</w:t>
            </w:r>
          </w:p>
        </w:tc>
      </w:tr>
      <w:tr w:rsidR="00C62CF4" w14:paraId="79104CCD" w14:textId="77777777" w:rsidTr="00C62CF4">
        <w:tc>
          <w:tcPr>
            <w:tcW w:w="0" w:type="auto"/>
            <w:gridSpan w:val="2"/>
          </w:tcPr>
          <w:p w14:paraId="1A2D8E70" w14:textId="77777777" w:rsidR="00D84031" w:rsidRDefault="007965BB">
            <w:pPr>
              <w:pStyle w:val="CellTextValue"/>
            </w:pPr>
            <w:r>
              <w:rPr>
                <w:b/>
              </w:rPr>
              <w:t>Specific conditions</w:t>
            </w:r>
          </w:p>
        </w:tc>
      </w:tr>
      <w:tr w:rsidR="00D84031" w14:paraId="19FCD966" w14:textId="77777777">
        <w:tc>
          <w:tcPr>
            <w:tcW w:w="0" w:type="auto"/>
          </w:tcPr>
          <w:p w14:paraId="015F5FC5" w14:textId="77777777" w:rsidR="00D84031" w:rsidRDefault="007965BB">
            <w:pPr>
              <w:pStyle w:val="CellTextValue"/>
              <w:jc w:val="left"/>
            </w:pPr>
            <w:r>
              <w:rPr>
                <w:i/>
              </w:rPr>
              <w:t>Expected EU contribution per project</w:t>
            </w:r>
          </w:p>
        </w:tc>
        <w:tc>
          <w:tcPr>
            <w:tcW w:w="0" w:type="auto"/>
          </w:tcPr>
          <w:p w14:paraId="42E9AF74" w14:textId="77777777" w:rsidR="00D84031" w:rsidRDefault="007965BB">
            <w:pPr>
              <w:pStyle w:val="CellTextValue"/>
            </w:pPr>
            <w:r>
              <w:t xml:space="preserve">The Commission estimates that an EU contribution of between EUR 3.00 and 3.50 million would allow these outcomes to be </w:t>
            </w:r>
            <w:r>
              <w:t>addressed appropriately. Nonetheless, this does not preclude submission and selection of a proposal requesting different amounts.</w:t>
            </w:r>
          </w:p>
        </w:tc>
      </w:tr>
      <w:tr w:rsidR="00D84031" w14:paraId="693733F5" w14:textId="77777777">
        <w:tc>
          <w:tcPr>
            <w:tcW w:w="0" w:type="auto"/>
          </w:tcPr>
          <w:p w14:paraId="142CDE59" w14:textId="77777777" w:rsidR="00D84031" w:rsidRDefault="007965BB">
            <w:pPr>
              <w:pStyle w:val="CellTextValue"/>
              <w:jc w:val="left"/>
            </w:pPr>
            <w:r>
              <w:rPr>
                <w:i/>
              </w:rPr>
              <w:t>Indicative budget</w:t>
            </w:r>
          </w:p>
        </w:tc>
        <w:tc>
          <w:tcPr>
            <w:tcW w:w="0" w:type="auto"/>
          </w:tcPr>
          <w:p w14:paraId="185AA9F7" w14:textId="77777777" w:rsidR="00D84031" w:rsidRDefault="007965BB">
            <w:pPr>
              <w:pStyle w:val="CellTextValue"/>
            </w:pPr>
            <w:r>
              <w:t>The total indicative budget for the topic is EUR 10.50 million.</w:t>
            </w:r>
          </w:p>
        </w:tc>
      </w:tr>
      <w:tr w:rsidR="00D84031" w14:paraId="437880EA" w14:textId="77777777">
        <w:tc>
          <w:tcPr>
            <w:tcW w:w="0" w:type="auto"/>
          </w:tcPr>
          <w:p w14:paraId="05D125EF" w14:textId="77777777" w:rsidR="00D84031" w:rsidRDefault="007965BB">
            <w:pPr>
              <w:pStyle w:val="CellTextValue"/>
              <w:jc w:val="left"/>
            </w:pPr>
            <w:r>
              <w:rPr>
                <w:i/>
              </w:rPr>
              <w:t>Type of Action</w:t>
            </w:r>
          </w:p>
        </w:tc>
        <w:tc>
          <w:tcPr>
            <w:tcW w:w="0" w:type="auto"/>
          </w:tcPr>
          <w:p w14:paraId="43A8F2D4" w14:textId="77777777" w:rsidR="00D84031" w:rsidRDefault="007965BB">
            <w:pPr>
              <w:pStyle w:val="CellTextValue"/>
            </w:pPr>
            <w:r>
              <w:rPr>
                <w:color w:val="000000"/>
              </w:rPr>
              <w:t xml:space="preserve">Research and </w:t>
            </w:r>
            <w:r>
              <w:rPr>
                <w:color w:val="000000"/>
              </w:rPr>
              <w:t>Innovation Actions</w:t>
            </w:r>
          </w:p>
        </w:tc>
      </w:tr>
      <w:tr w:rsidR="00D84031" w14:paraId="071304E1" w14:textId="77777777">
        <w:tc>
          <w:tcPr>
            <w:tcW w:w="0" w:type="auto"/>
          </w:tcPr>
          <w:p w14:paraId="00F658F1" w14:textId="77777777" w:rsidR="00D84031" w:rsidRDefault="007965BB">
            <w:pPr>
              <w:pStyle w:val="CellTextValue"/>
              <w:jc w:val="left"/>
            </w:pPr>
            <w:r>
              <w:rPr>
                <w:i/>
              </w:rPr>
              <w:t>Legal and financial set-up of the Grant Agreements</w:t>
            </w:r>
          </w:p>
        </w:tc>
        <w:tc>
          <w:tcPr>
            <w:tcW w:w="0" w:type="auto"/>
          </w:tcPr>
          <w:p w14:paraId="05BED76B" w14:textId="77777777" w:rsidR="00D84031" w:rsidRDefault="007965BB">
            <w:pPr>
              <w:pStyle w:val="CellTextValue"/>
            </w:pPr>
            <w:r>
              <w:rPr>
                <w:color w:val="000000"/>
              </w:rPr>
              <w:t>The rules are described in General Annex G. The following exceptions apply:</w:t>
            </w:r>
          </w:p>
          <w:p w14:paraId="055ACA64"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19"/>
            </w:r>
            <w:r>
              <w:rPr>
                <w:color w:val="000000"/>
              </w:rPr>
              <w:t>.</w:t>
            </w:r>
          </w:p>
        </w:tc>
      </w:tr>
    </w:tbl>
    <w:p w14:paraId="7FAED5D2" w14:textId="77777777" w:rsidR="00D84031" w:rsidRDefault="00D84031">
      <w:pPr>
        <w:spacing w:after="0" w:line="150" w:lineRule="auto"/>
      </w:pPr>
    </w:p>
    <w:p w14:paraId="714DDCDC" w14:textId="77777777" w:rsidR="00D84031" w:rsidRDefault="007965BB">
      <w:r>
        <w:rPr>
          <w:u w:val="single"/>
        </w:rPr>
        <w:t>Expected Outcome</w:t>
      </w:r>
      <w:r>
        <w:t xml:space="preserve">: </w:t>
      </w:r>
      <w:r>
        <w:rPr>
          <w:color w:val="000000"/>
        </w:rPr>
        <w:t>Projects should contribute to all of the following expected outcomes:</w:t>
      </w:r>
    </w:p>
    <w:p w14:paraId="531EE2A0" w14:textId="77777777" w:rsidR="00D84031" w:rsidRDefault="007965BB" w:rsidP="00C62CF4">
      <w:pPr>
        <w:pStyle w:val="ListParagraph"/>
        <w:numPr>
          <w:ilvl w:val="0"/>
          <w:numId w:val="47"/>
        </w:numPr>
      </w:pPr>
      <w:r>
        <w:rPr>
          <w:color w:val="000000"/>
        </w:rPr>
        <w:t xml:space="preserve">The cultural dimension of circular economy is better understood. Cultural factors and the potential of cultural and creative sectors and industries (CCSI) are leveraged to foster circular economy in the EU </w:t>
      </w:r>
    </w:p>
    <w:p w14:paraId="62E8F3F5" w14:textId="77777777" w:rsidR="00D84031" w:rsidRDefault="007965BB" w:rsidP="00C62CF4">
      <w:pPr>
        <w:pStyle w:val="ListParagraph"/>
        <w:numPr>
          <w:ilvl w:val="0"/>
          <w:numId w:val="47"/>
        </w:numPr>
      </w:pPr>
      <w:r>
        <w:rPr>
          <w:color w:val="000000"/>
        </w:rPr>
        <w:lastRenderedPageBreak/>
        <w:t>Scalable, sustainable and inclusive business models are developed with users and stakeholders, leveraging circular practices from CCSI for economic and environmental benefits (e.g. reducing waste, increasing resource efficiency, promoting sustainable consumption and re-use patterns).</w:t>
      </w:r>
    </w:p>
    <w:p w14:paraId="1DE3E40F" w14:textId="77777777" w:rsidR="00D84031" w:rsidRDefault="007965BB" w:rsidP="00C62CF4">
      <w:pPr>
        <w:pStyle w:val="ListParagraph"/>
        <w:numPr>
          <w:ilvl w:val="0"/>
          <w:numId w:val="47"/>
        </w:numPr>
      </w:pPr>
      <w:r>
        <w:rPr>
          <w:color w:val="000000"/>
        </w:rPr>
        <w:t>Circular solution toolkit: A practical toolkit enables businesses in various sectors to apply CCSI-inspired frugal innovation principles, promoting circularity, sustainability and inclusion.</w:t>
      </w:r>
    </w:p>
    <w:p w14:paraId="4AB0D60F" w14:textId="77777777" w:rsidR="00D84031" w:rsidRDefault="007965BB" w:rsidP="00C62CF4">
      <w:pPr>
        <w:pStyle w:val="ListParagraph"/>
        <w:numPr>
          <w:ilvl w:val="0"/>
          <w:numId w:val="47"/>
        </w:numPr>
      </w:pPr>
      <w:r>
        <w:rPr>
          <w:color w:val="000000"/>
        </w:rPr>
        <w:t>Evidence-based recommendations and guidelines are available to policymakers to support the transition towards circular practices in CCSI and across other industries and to integrate frugal innovation</w:t>
      </w:r>
      <w:r>
        <w:rPr>
          <w:vertAlign w:val="superscript"/>
        </w:rPr>
        <w:footnoteReference w:id="120"/>
      </w:r>
      <w:r>
        <w:rPr>
          <w:color w:val="000000"/>
        </w:rPr>
        <w:t xml:space="preserve"> in circular economy strategies. They emphasize local adaptations of global strategies, allowing for customized approaches that respect and enhance local cultures, heritage and economies. </w:t>
      </w:r>
    </w:p>
    <w:p w14:paraId="7D10E9A4" w14:textId="77777777" w:rsidR="00D84031" w:rsidRDefault="007965BB" w:rsidP="00C62CF4">
      <w:pPr>
        <w:pStyle w:val="ListParagraph"/>
        <w:numPr>
          <w:ilvl w:val="0"/>
          <w:numId w:val="47"/>
        </w:numPr>
      </w:pPr>
      <w:r>
        <w:rPr>
          <w:color w:val="000000"/>
        </w:rPr>
        <w:t xml:space="preserve">Skills Enhancement: Training modules on frugal innovation, circular design, and circular economy practices inspired by crafts, local heritage and other CCSI are available to professionals in various industries.  </w:t>
      </w:r>
    </w:p>
    <w:p w14:paraId="0CE043E0" w14:textId="77777777" w:rsidR="00D84031" w:rsidRDefault="007965BB">
      <w:r>
        <w:rPr>
          <w:u w:val="single"/>
        </w:rPr>
        <w:t>Scope</w:t>
      </w:r>
      <w:r>
        <w:t xml:space="preserve">: </w:t>
      </w:r>
      <w:r>
        <w:rPr>
          <w:color w:val="000000"/>
        </w:rPr>
        <w:t>The transition from a linear to a circular economy</w:t>
      </w:r>
      <w:r>
        <w:rPr>
          <w:vertAlign w:val="superscript"/>
        </w:rPr>
        <w:footnoteReference w:id="121"/>
      </w:r>
      <w:r>
        <w:rPr>
          <w:color w:val="000000"/>
        </w:rPr>
        <w:t xml:space="preserve"> is crucial for Europe’s prosperity, long term competitiveness and strategic autonomy. This shift can reduce dependence on raw materials, decrease greenhouse gas emissions, pollution, and waste, limit biodiversity loss, create jobs, and support environmental sustainability.</w:t>
      </w:r>
      <w:r>
        <w:rPr>
          <w:color w:val="000000"/>
          <w:vertAlign w:val="superscript"/>
        </w:rPr>
        <w:t xml:space="preserve"> </w:t>
      </w:r>
      <w:r>
        <w:rPr>
          <w:color w:val="000000"/>
        </w:rPr>
        <w:t>The New European Innovation Agenda</w:t>
      </w:r>
      <w:r>
        <w:rPr>
          <w:vertAlign w:val="superscript"/>
        </w:rPr>
        <w:footnoteReference w:id="122"/>
      </w:r>
      <w:r>
        <w:rPr>
          <w:color w:val="000000"/>
        </w:rPr>
        <w:t xml:space="preserve"> recognises circularity as a key challenge to accelerate innovation across the EU. Securing essential resources is a high priority, but the transition to circularity requires more than new materials and products: it demands a paradigm shift and a systemic approach that combines different sectors, technological progress, actors, and disciplines with deeper industrial, economic, and societal changes. In advancing a circular economy and society, cultural dimensions are paramount; and cultural barriers can be a</w:t>
      </w:r>
      <w:r>
        <w:rPr>
          <w:color w:val="000000"/>
        </w:rPr>
        <w:t xml:space="preserve">s significant as economic or technical ones and should be addressed. </w:t>
      </w:r>
    </w:p>
    <w:p w14:paraId="12988F44" w14:textId="77777777" w:rsidR="00D84031" w:rsidRDefault="007965BB">
      <w:r>
        <w:rPr>
          <w:color w:val="000000"/>
        </w:rPr>
        <w:t xml:space="preserve">CCSIs can act as catalysts for change. Through storytelling and community engagement, they can reshape cognitive frameworks, influence consumer attitudes, and promote societal shifts towards circular principles. They can encourage other industries, such as manufacturing (including textile and fashion), tourism, or construction (including housing and urban development) to adopt circular approaches, promoting resource efficiency and designing for </w:t>
      </w:r>
      <w:r>
        <w:rPr>
          <w:color w:val="000000"/>
        </w:rPr>
        <w:lastRenderedPageBreak/>
        <w:t>longevity and adaptability. Despite their potential, cultural aspects remain underexplored in circular economy strategies. This topic aims to investigate effective strategies and synergies between culture, creativity, and the circular economy, to inform policy, enhance education and lifelong learning, and inspire innovation. The goal is to develop robust frameworks supporting economic, environmental, and social sustainability across Europe, fostering an environment where culture, creativity, and economy com</w:t>
      </w:r>
      <w:r>
        <w:rPr>
          <w:color w:val="000000"/>
        </w:rPr>
        <w:t xml:space="preserve">bine to form resilient circular systems and societies. Where relevant, synergies with the New European Bauhaus may also be considered. </w:t>
      </w:r>
    </w:p>
    <w:p w14:paraId="01BCE199" w14:textId="77777777" w:rsidR="00D84031" w:rsidRDefault="007965BB">
      <w:r>
        <w:rPr>
          <w:color w:val="000000"/>
        </w:rPr>
        <w:t>Proposals may address one or more of the following four focuses and may combine them with others as appropriate to their objectives.</w:t>
      </w:r>
    </w:p>
    <w:p w14:paraId="46275F68" w14:textId="77777777" w:rsidR="00D84031" w:rsidRDefault="007965BB">
      <w:r>
        <w:rPr>
          <w:b/>
          <w:color w:val="000000"/>
        </w:rPr>
        <w:t xml:space="preserve">Focus 1. </w:t>
      </w:r>
      <w:r>
        <w:rPr>
          <w:b/>
          <w:color w:val="000000"/>
          <w:u w:val="single"/>
        </w:rPr>
        <w:t>Crafts-led innovation for circular economy</w:t>
      </w:r>
    </w:p>
    <w:p w14:paraId="6F83F4CB" w14:textId="77777777" w:rsidR="00D84031" w:rsidRDefault="007965BB">
      <w:r>
        <w:rPr>
          <w:color w:val="000000"/>
        </w:rPr>
        <w:t>Crafts naturally align with circular economy principles through their use of natural, renewable materials, small scale tools and production, and the creation of durable products with cultural significance. Integrating circular economy concepts with craftsmanship helps address sustainability challenges, preserve cultural heritage and foster local economic development.</w:t>
      </w:r>
      <w:r>
        <w:rPr>
          <w:i/>
          <w:color w:val="000000"/>
        </w:rPr>
        <w:t xml:space="preserve"> </w:t>
      </w:r>
      <w:r>
        <w:rPr>
          <w:color w:val="000000"/>
        </w:rPr>
        <w:t xml:space="preserve">Craft practices exemplify frugal innovation by efficiently using local resources and minimising waste, offering valuable insights for other sectors seeking to improve sustainability and resource efficiency. Key aspects of the relationship between crafts and the circular economy include traditional knowledge systems rooted in generations of sustainable, place-based practices; local resource utilisation promoting efficiency; and upcycling and waste reduction through creative reuse of materials. </w:t>
      </w:r>
    </w:p>
    <w:p w14:paraId="345302B0" w14:textId="77777777" w:rsidR="00D84031" w:rsidRDefault="007965BB">
      <w:r>
        <w:rPr>
          <w:color w:val="000000"/>
        </w:rPr>
        <w:t>Furthermore, craftmanship is key part of the value chain in high-end industries such as fashion and textiles, with potential synergies to enhance sustainability and the use of recycled, reused and renewable materials.</w:t>
      </w:r>
    </w:p>
    <w:p w14:paraId="6F9AE5FD" w14:textId="77777777" w:rsidR="00D84031" w:rsidRDefault="007965BB">
      <w:r>
        <w:rPr>
          <w:color w:val="000000"/>
        </w:rPr>
        <w:t xml:space="preserve">By leveraging circular economy and frugal innovation principles, craft practices offer affordable, accessible, inclusive and equitable solutions to sustainability challenges, emphasizing local resources and community-based production. </w:t>
      </w:r>
    </w:p>
    <w:p w14:paraId="247602C3" w14:textId="77777777" w:rsidR="00D84031" w:rsidRDefault="007965BB">
      <w:r>
        <w:rPr>
          <w:color w:val="000000"/>
        </w:rPr>
        <w:t>Collaborative, open innovation approaches can unlock creative solutions that promote a more sustainable, inclusive, and resource-efficient future.</w:t>
      </w:r>
    </w:p>
    <w:p w14:paraId="5E54C363" w14:textId="77777777" w:rsidR="00D84031" w:rsidRDefault="007965BB">
      <w:r>
        <w:rPr>
          <w:color w:val="000000"/>
        </w:rPr>
        <w:t>Proposals should develop a framework integrating circular economy and frugal innovation principles derived from craft practices, applicable and adaptable across various industries and sectors. This includes models for cross-sector collaboration and knowledge transfer among craft practitioners, designers, researchers, and industry professionals to drive circular innovation, foster capacity building, and ensure equitable access to sustainable solutions.</w:t>
      </w:r>
    </w:p>
    <w:p w14:paraId="74D890EB" w14:textId="77777777" w:rsidR="00D84031" w:rsidRDefault="007965BB">
      <w:r>
        <w:rPr>
          <w:color w:val="000000"/>
        </w:rPr>
        <w:t>Proposals may consider UNESCO Creative Cities, in particular the City of Crafts and Folk Arts.</w:t>
      </w:r>
    </w:p>
    <w:p w14:paraId="333C6D0D" w14:textId="77777777" w:rsidR="00D84031" w:rsidRDefault="007965BB">
      <w:r>
        <w:rPr>
          <w:b/>
          <w:color w:val="000000"/>
        </w:rPr>
        <w:t xml:space="preserve">Focus 2 </w:t>
      </w:r>
      <w:r>
        <w:rPr>
          <w:b/>
          <w:color w:val="000000"/>
          <w:u w:val="single"/>
        </w:rPr>
        <w:t>Evaluating adaptive reuse of built cultural heritage</w:t>
      </w:r>
    </w:p>
    <w:p w14:paraId="303051EF" w14:textId="77777777" w:rsidR="00D84031" w:rsidRDefault="007965BB">
      <w:r>
        <w:rPr>
          <w:color w:val="000000"/>
        </w:rPr>
        <w:lastRenderedPageBreak/>
        <w:t>Cultural heritage buildings are vital for their historical and cultural significance, embodying the identity of local communities. At the same time, the built environment is a major driver of material demand, with significant economic and wellbeing impacts.</w:t>
      </w:r>
      <w:r>
        <w:rPr>
          <w:vertAlign w:val="superscript"/>
        </w:rPr>
        <w:footnoteReference w:id="123"/>
      </w:r>
      <w:r>
        <w:rPr>
          <w:color w:val="000000"/>
        </w:rPr>
        <w:t xml:space="preserve"> The Built4People SRIA</w:t>
      </w:r>
      <w:r>
        <w:rPr>
          <w:vertAlign w:val="superscript"/>
        </w:rPr>
        <w:footnoteReference w:id="124"/>
      </w:r>
      <w:r>
        <w:rPr>
          <w:color w:val="000000"/>
        </w:rPr>
        <w:t xml:space="preserve"> highlights the need for R&amp;I in retrofitting and repair, including heritage buildings, using vernacular, bio-based, locally sourced materials , or innovative materials compatible with vernacular ones. The EU Circular Cities and Regions Initiative identifies adaptive reuse of cultural heritage as key to urban sustainability and resilience.</w:t>
      </w:r>
      <w:r>
        <w:rPr>
          <w:vertAlign w:val="superscript"/>
        </w:rPr>
        <w:footnoteReference w:id="125"/>
      </w:r>
      <w:r>
        <w:rPr>
          <w:color w:val="000000"/>
          <w:vertAlign w:val="superscript"/>
        </w:rPr>
        <w:t xml:space="preserve"> </w:t>
      </w:r>
      <w:r>
        <w:rPr>
          <w:color w:val="000000"/>
        </w:rPr>
        <w:t xml:space="preserve"> There is a need for systematic urban planning transforming building lifecycles from linear to circular models, leveraging cultural heritage to improve energy efficiency, reduce waste, and generate cultural, economic, social and environmental benefits. Participatory planning is crucial for achieving circularity, as are indicators for measuring impact. Adaptive reuse also delivers economic value as heritage sites attract visitors, support local businesses, and foster vibrant cultural economies, making cultu</w:t>
      </w:r>
      <w:r>
        <w:rPr>
          <w:color w:val="000000"/>
        </w:rPr>
        <w:t xml:space="preserve">ral participation central to sustainable urban regeneration and the circular economy. Integrating service design approaches can further connect adaptive reuse of heritage buildings with stakeholders and enhance cultural services and community activities. </w:t>
      </w:r>
    </w:p>
    <w:p w14:paraId="48C3F8DE" w14:textId="77777777" w:rsidR="00D84031" w:rsidRDefault="007965BB">
      <w:r>
        <w:rPr>
          <w:color w:val="000000"/>
        </w:rPr>
        <w:t>Proposals should develop methodologies to evaluate the economic, social and environmental benefits of maintaining and reusing built heritage. They should establish criteria and indicators for assessing cultural heritage’s contribution to circular city objectives, including energy efficiency, waste reduction, social cohesion and economic sustainability, and explore evaluation tools for innovative circular financing, business and governance models for adaptive reuse of cultural heritage.</w:t>
      </w:r>
    </w:p>
    <w:p w14:paraId="212F3B96" w14:textId="77777777" w:rsidR="00D84031" w:rsidRDefault="007965BB">
      <w:r>
        <w:rPr>
          <w:b/>
          <w:color w:val="000000"/>
        </w:rPr>
        <w:t xml:space="preserve">Focus 3. </w:t>
      </w:r>
      <w:r>
        <w:rPr>
          <w:b/>
          <w:color w:val="000000"/>
          <w:u w:val="single"/>
        </w:rPr>
        <w:t>Food heritage and gastronomic innovation for circular futures</w:t>
      </w:r>
    </w:p>
    <w:p w14:paraId="2C0DA24A" w14:textId="77777777" w:rsidR="00D84031" w:rsidRDefault="007965BB">
      <w:r>
        <w:rPr>
          <w:color w:val="000000"/>
        </w:rPr>
        <w:t>Food is deeply connected to cultural and creative sectors through gastronomic heritage, food-related crafts, and intangible traditions that shape cultural identities. Addressing food’s cultural dimensions offers unique opportunities to advance circular economy principles. Food heritage promotes local sourcing, biodiversity, and waste reduction, while culinary tourism and creative food initiatives drive sustainable growth and cross-sectoral innovation. Proposals should develop a framework to integrate circul</w:t>
      </w:r>
      <w:r>
        <w:rPr>
          <w:color w:val="000000"/>
        </w:rPr>
        <w:t>ar economy principles into gastronomy and food heritage and devise transferable methodologies linking food-related creativity with sustainable practices. Proposals might consider UNESCO Creative Cities, in particular the City of Gastronomy.</w:t>
      </w:r>
    </w:p>
    <w:p w14:paraId="2217BE96" w14:textId="77777777" w:rsidR="00D84031" w:rsidRDefault="007965BB">
      <w:r>
        <w:rPr>
          <w:b/>
          <w:color w:val="000000"/>
        </w:rPr>
        <w:t xml:space="preserve">Focus 4. </w:t>
      </w:r>
      <w:r>
        <w:rPr>
          <w:b/>
          <w:color w:val="000000"/>
          <w:u w:val="single"/>
        </w:rPr>
        <w:t>Designing circularity: creative pathways and open innovation</w:t>
      </w:r>
    </w:p>
    <w:p w14:paraId="03F741D5" w14:textId="77777777" w:rsidR="00D84031" w:rsidRDefault="007965BB">
      <w:r>
        <w:rPr>
          <w:color w:val="000000"/>
        </w:rPr>
        <w:t xml:space="preserve">Design is pivotal in the transition to a circular economy, underpinning three principles: eliminating waste and pollution, circulating products and materials, and regenerating nature. By applying these principles, designers create durable, repairable, and recyclable products and </w:t>
      </w:r>
      <w:r>
        <w:rPr>
          <w:color w:val="000000"/>
        </w:rPr>
        <w:lastRenderedPageBreak/>
        <w:t>services, aligned with circular economy goals. The fashion industry pioneered upcycling and make-to-order models, producing items only on demand to reduce overproduction and waste. Such models, alongside product-as-a-service, sharing economy initiatives, or closed-loop production systems, offer adaptable strategies for other sectors to enhance circularity. The dynamic creative sector catalyses innovation, serving as a platform to experiment with circular design approaches across creative and non-creative se</w:t>
      </w:r>
      <w:r>
        <w:rPr>
          <w:color w:val="000000"/>
        </w:rPr>
        <w:t>ctors, including open innovation practices.</w:t>
      </w:r>
    </w:p>
    <w:p w14:paraId="3FA54AD7" w14:textId="77777777" w:rsidR="00D84031" w:rsidRDefault="007965BB">
      <w:r>
        <w:rPr>
          <w:color w:val="000000"/>
        </w:rPr>
        <w:t>Proposals should develop a comprehensive framework for integrating circular economy principles into design processes across cultural and creative industries, guiding designers to minimise waste and maximise resource efficiency. A collaborative environment should facilitate sharing circular design practices and transferring innovative solutions across industries.</w:t>
      </w:r>
    </w:p>
    <w:p w14:paraId="4334F85E" w14:textId="77777777" w:rsidR="00D84031" w:rsidRDefault="007965BB">
      <w:pPr>
        <w:pStyle w:val="HeadingThree"/>
      </w:pPr>
      <w:r>
        <w:t>SUPPORTING PEOPLE, STRENGTHENING OUR SOCIETIES AND OUR SOCIAL MODEL</w:t>
      </w:r>
    </w:p>
    <w:p w14:paraId="6228F4F4" w14:textId="77777777" w:rsidR="00D84031" w:rsidRDefault="007965BB">
      <w:pPr>
        <w:pStyle w:val="HeadingThree"/>
      </w:pPr>
      <w:r>
        <w:t>HORIZON-CL2-2027-01-HERITAGE-04: Culture, heritage and creative industries for health and well-being</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7B077809" w14:textId="77777777" w:rsidTr="00C62CF4">
        <w:tc>
          <w:tcPr>
            <w:tcW w:w="0" w:type="auto"/>
            <w:gridSpan w:val="2"/>
          </w:tcPr>
          <w:p w14:paraId="584A276E" w14:textId="77777777" w:rsidR="00D84031" w:rsidRDefault="007965BB">
            <w:pPr>
              <w:pStyle w:val="CellTextValue"/>
            </w:pPr>
            <w:r>
              <w:rPr>
                <w:b/>
              </w:rPr>
              <w:t>Call: Culture, Creativity and Inclusive Society - 2027</w:t>
            </w:r>
          </w:p>
        </w:tc>
      </w:tr>
      <w:tr w:rsidR="00C62CF4" w14:paraId="3C2F9897" w14:textId="77777777" w:rsidTr="00C62CF4">
        <w:tc>
          <w:tcPr>
            <w:tcW w:w="0" w:type="auto"/>
            <w:gridSpan w:val="2"/>
          </w:tcPr>
          <w:p w14:paraId="6894EF86" w14:textId="77777777" w:rsidR="00D84031" w:rsidRDefault="007965BB">
            <w:pPr>
              <w:pStyle w:val="CellTextValue"/>
            </w:pPr>
            <w:r>
              <w:rPr>
                <w:b/>
              </w:rPr>
              <w:t>Specific conditions</w:t>
            </w:r>
          </w:p>
        </w:tc>
      </w:tr>
      <w:tr w:rsidR="00D84031" w14:paraId="161069D4" w14:textId="77777777">
        <w:tc>
          <w:tcPr>
            <w:tcW w:w="0" w:type="auto"/>
          </w:tcPr>
          <w:p w14:paraId="08FDBF96" w14:textId="77777777" w:rsidR="00D84031" w:rsidRDefault="007965BB">
            <w:pPr>
              <w:pStyle w:val="CellTextValue"/>
              <w:jc w:val="left"/>
            </w:pPr>
            <w:r>
              <w:rPr>
                <w:i/>
              </w:rPr>
              <w:t>Expected EU contribution per project</w:t>
            </w:r>
          </w:p>
        </w:tc>
        <w:tc>
          <w:tcPr>
            <w:tcW w:w="0" w:type="auto"/>
          </w:tcPr>
          <w:p w14:paraId="09AB9218" w14:textId="77777777" w:rsidR="00D84031" w:rsidRDefault="007965BB">
            <w:pPr>
              <w:pStyle w:val="CellTextValue"/>
            </w:pPr>
            <w:r>
              <w:t xml:space="preserve">The Commission estimates that an EU </w:t>
            </w:r>
            <w:r>
              <w:t>contribution of between EUR 3.00 and 4.00 million would allow these outcomes to be addressed appropriately. Nonetheless, this does not preclude submission and selection of a proposal requesting different amounts.</w:t>
            </w:r>
          </w:p>
        </w:tc>
      </w:tr>
      <w:tr w:rsidR="00D84031" w14:paraId="4B260FB3" w14:textId="77777777">
        <w:tc>
          <w:tcPr>
            <w:tcW w:w="0" w:type="auto"/>
          </w:tcPr>
          <w:p w14:paraId="0EB8ABF5" w14:textId="77777777" w:rsidR="00D84031" w:rsidRDefault="007965BB">
            <w:pPr>
              <w:pStyle w:val="CellTextValue"/>
              <w:jc w:val="left"/>
            </w:pPr>
            <w:r>
              <w:rPr>
                <w:i/>
              </w:rPr>
              <w:t>Indicative budget</w:t>
            </w:r>
          </w:p>
        </w:tc>
        <w:tc>
          <w:tcPr>
            <w:tcW w:w="0" w:type="auto"/>
          </w:tcPr>
          <w:p w14:paraId="5DA9837C" w14:textId="77777777" w:rsidR="00D84031" w:rsidRDefault="007965BB">
            <w:pPr>
              <w:pStyle w:val="CellTextValue"/>
            </w:pPr>
            <w:r>
              <w:t>The total indicative budget for the topic is EUR 16.00 million.</w:t>
            </w:r>
          </w:p>
        </w:tc>
      </w:tr>
      <w:tr w:rsidR="00D84031" w14:paraId="30AABB99" w14:textId="77777777">
        <w:tc>
          <w:tcPr>
            <w:tcW w:w="0" w:type="auto"/>
          </w:tcPr>
          <w:p w14:paraId="0E353633" w14:textId="77777777" w:rsidR="00D84031" w:rsidRDefault="007965BB">
            <w:pPr>
              <w:pStyle w:val="CellTextValue"/>
              <w:jc w:val="left"/>
            </w:pPr>
            <w:r>
              <w:rPr>
                <w:i/>
              </w:rPr>
              <w:t>Type of Action</w:t>
            </w:r>
          </w:p>
        </w:tc>
        <w:tc>
          <w:tcPr>
            <w:tcW w:w="0" w:type="auto"/>
          </w:tcPr>
          <w:p w14:paraId="2A6CF2C8" w14:textId="77777777" w:rsidR="00D84031" w:rsidRDefault="007965BB">
            <w:pPr>
              <w:pStyle w:val="CellTextValue"/>
            </w:pPr>
            <w:r>
              <w:rPr>
                <w:color w:val="000000"/>
              </w:rPr>
              <w:t>Research and Innovation Actions</w:t>
            </w:r>
          </w:p>
        </w:tc>
      </w:tr>
      <w:tr w:rsidR="00D84031" w14:paraId="466097B4" w14:textId="77777777">
        <w:tc>
          <w:tcPr>
            <w:tcW w:w="0" w:type="auto"/>
          </w:tcPr>
          <w:p w14:paraId="20EBA75D" w14:textId="77777777" w:rsidR="00D84031" w:rsidRDefault="007965BB">
            <w:pPr>
              <w:pStyle w:val="CellTextValue"/>
              <w:jc w:val="left"/>
            </w:pPr>
            <w:r>
              <w:rPr>
                <w:i/>
              </w:rPr>
              <w:t>Legal and financial set-up of the Grant Agreements</w:t>
            </w:r>
          </w:p>
        </w:tc>
        <w:tc>
          <w:tcPr>
            <w:tcW w:w="0" w:type="auto"/>
          </w:tcPr>
          <w:p w14:paraId="0B8058E7" w14:textId="77777777" w:rsidR="00D84031" w:rsidRDefault="007965BB">
            <w:pPr>
              <w:pStyle w:val="CellTextValue"/>
            </w:pPr>
            <w:r>
              <w:rPr>
                <w:color w:val="000000"/>
              </w:rPr>
              <w:t>The rules are described in General Annex G. The following exceptions apply:</w:t>
            </w:r>
          </w:p>
          <w:p w14:paraId="55DF5FA5" w14:textId="77777777" w:rsidR="00D84031" w:rsidRDefault="007965BB">
            <w:pPr>
              <w:pStyle w:val="CellTextValue"/>
            </w:pPr>
            <w:r>
              <w:rPr>
                <w:color w:val="000000"/>
              </w:rPr>
              <w:t xml:space="preserve">Beneficiaries may provide </w:t>
            </w:r>
            <w:r>
              <w:rPr>
                <w:color w:val="000000"/>
              </w:rPr>
              <w:t>financial support to third parties. The support to third parties can only be provided in the form of grants. The maximum amount to be granted to each third party is EUR 60 000</w:t>
            </w:r>
          </w:p>
          <w:p w14:paraId="756532F3"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w:t>
            </w:r>
            <w:r>
              <w:rPr>
                <w:color w:val="000000"/>
              </w:rPr>
              <w:lastRenderedPageBreak/>
              <w:t xml:space="preserve">Research and Training Programme of the European Atomic Energy Community (2021-2025) </w:t>
            </w:r>
            <w:r>
              <w:rPr>
                <w:vertAlign w:val="superscript"/>
              </w:rPr>
              <w:footnoteReference w:id="126"/>
            </w:r>
            <w:r>
              <w:rPr>
                <w:color w:val="000000"/>
              </w:rPr>
              <w:t>.</w:t>
            </w:r>
          </w:p>
        </w:tc>
      </w:tr>
    </w:tbl>
    <w:p w14:paraId="02A89EF3" w14:textId="77777777" w:rsidR="00D84031" w:rsidRDefault="00D84031">
      <w:pPr>
        <w:spacing w:after="0" w:line="150" w:lineRule="auto"/>
      </w:pPr>
    </w:p>
    <w:p w14:paraId="19E6797E" w14:textId="77777777" w:rsidR="00D84031" w:rsidRDefault="007965BB">
      <w:r>
        <w:rPr>
          <w:u w:val="single"/>
        </w:rPr>
        <w:t>Expected Outcome</w:t>
      </w:r>
      <w:r>
        <w:t xml:space="preserve">: </w:t>
      </w:r>
      <w:r>
        <w:rPr>
          <w:color w:val="000000"/>
        </w:rPr>
        <w:t>Projects should contribute to all of the following expected outcomes:</w:t>
      </w:r>
    </w:p>
    <w:p w14:paraId="39CF8681" w14:textId="77777777" w:rsidR="00D84031" w:rsidRDefault="007965BB" w:rsidP="00C62CF4">
      <w:pPr>
        <w:pStyle w:val="ListParagraph"/>
        <w:numPr>
          <w:ilvl w:val="0"/>
          <w:numId w:val="48"/>
        </w:numPr>
      </w:pPr>
      <w:r>
        <w:rPr>
          <w:color w:val="000000"/>
        </w:rPr>
        <w:t>Deepened knowledge of the potential positive effects of cultural experiences on health and well-being</w:t>
      </w:r>
      <w:r>
        <w:rPr>
          <w:vertAlign w:val="superscript"/>
        </w:rPr>
        <w:footnoteReference w:id="127"/>
      </w:r>
      <w:r>
        <w:rPr>
          <w:color w:val="000000"/>
        </w:rPr>
        <w:t xml:space="preserve"> is developed and made available to relevant stakeholders, along with validated scalable and replicable practices to reinforce these effects</w:t>
      </w:r>
    </w:p>
    <w:p w14:paraId="6967E864" w14:textId="77777777" w:rsidR="00D84031" w:rsidRDefault="007965BB" w:rsidP="00C62CF4">
      <w:pPr>
        <w:pStyle w:val="ListParagraph"/>
        <w:numPr>
          <w:ilvl w:val="0"/>
          <w:numId w:val="48"/>
        </w:numPr>
      </w:pPr>
      <w:r>
        <w:rPr>
          <w:color w:val="000000"/>
        </w:rPr>
        <w:t>Key industrial, health, cultural, educational and/or civil society actors are aware of validated systemic approaches to make cultural experiences improve health and well-being and are engaged in producing or supporting such cultural experiences</w:t>
      </w:r>
    </w:p>
    <w:p w14:paraId="524B22E3" w14:textId="77777777" w:rsidR="00D84031" w:rsidRDefault="007965BB" w:rsidP="00C62CF4">
      <w:pPr>
        <w:pStyle w:val="ListParagraph"/>
        <w:numPr>
          <w:ilvl w:val="0"/>
          <w:numId w:val="48"/>
        </w:numPr>
      </w:pPr>
      <w:r>
        <w:rPr>
          <w:color w:val="000000"/>
        </w:rPr>
        <w:t xml:space="preserve">Competitive European cultural and creative sectors and industries systematically contribute to improve health and well-being </w:t>
      </w:r>
    </w:p>
    <w:p w14:paraId="27864126" w14:textId="77777777" w:rsidR="00D84031" w:rsidRDefault="007965BB">
      <w:r>
        <w:rPr>
          <w:u w:val="single"/>
        </w:rPr>
        <w:t>Scope</w:t>
      </w:r>
      <w:r>
        <w:t xml:space="preserve">: </w:t>
      </w:r>
      <w:r>
        <w:rPr>
          <w:color w:val="000000"/>
        </w:rPr>
        <w:t>It is widely recognised that cultural experiences, such as those offered by cultural heritage institutions (CHIs) or cultural and creative sectors and industries (CCSI), can be beneficial for health and well-being. Research done, though scattered and not always systematic, supports this conclusion, with for instance the World Health Organisation arguing that cultural experiences contribute to health in four areas: prevention of ill-health, promotion of healthy behaviour, as well as management and treatmen</w:t>
      </w:r>
      <w:r>
        <w:rPr>
          <w:color w:val="000000"/>
        </w:rPr>
        <w:t>t of disease</w:t>
      </w:r>
      <w:r>
        <w:rPr>
          <w:vertAlign w:val="superscript"/>
        </w:rPr>
        <w:footnoteReference w:id="128"/>
      </w:r>
      <w:r>
        <w:rPr>
          <w:color w:val="000000"/>
        </w:rPr>
        <w:t>.</w:t>
      </w:r>
    </w:p>
    <w:p w14:paraId="647E0ABF" w14:textId="77777777" w:rsidR="00D84031" w:rsidRDefault="007965BB">
      <w:r>
        <w:rPr>
          <w:color w:val="000000"/>
        </w:rPr>
        <w:t>However, there is still a lack of systematic research into the key characteristics and circumstances of cultural experiences to best support health and well-being. The challenge is to remedy this situation by developing evidence-based and validated practices that can be understood and used by CHIs and CCSI as well as other key stakeholders to develop cultural experiences that effectively support health and well-being.</w:t>
      </w:r>
    </w:p>
    <w:p w14:paraId="526F2737" w14:textId="77777777" w:rsidR="00D84031" w:rsidRDefault="007965BB">
      <w:r>
        <w:rPr>
          <w:color w:val="000000"/>
        </w:rPr>
        <w:t xml:space="preserve">There are many possible ways to approach this challenge. Proposals are free to choose the focus considered to </w:t>
      </w:r>
      <w:r>
        <w:rPr>
          <w:color w:val="000000"/>
        </w:rPr>
        <w:t>have the best potential to achieve a strong impact and should make sure to delimit the focus in a way that allows for sufficiently thorough work. Activities may thus concentrate on different kinds of arts and culture – interventions and/or experiences – online and/or in person – and/or on cross-sectoral issues. Proposals should, however, credibly explain why the chosen focus and approach are likely to achieve a strong impact.</w:t>
      </w:r>
    </w:p>
    <w:p w14:paraId="0D403D0E" w14:textId="77777777" w:rsidR="00D84031" w:rsidRDefault="007965BB">
      <w:r>
        <w:rPr>
          <w:color w:val="000000"/>
        </w:rPr>
        <w:t>One possible focus could be on arts and culture-based experiences as a societal support kit, in situations of crises or other circumstances where health or well-being is under threat. Decision-makers could thus benefit from a set of validated practices that help support well-</w:t>
      </w:r>
      <w:r>
        <w:rPr>
          <w:color w:val="000000"/>
        </w:rPr>
        <w:lastRenderedPageBreak/>
        <w:t>being among the population in such situations. Such research might be based on good examples provided by Member States/Associated Countries or other stakeholders, with a view to consolidate and build on existing knowledge and practices.</w:t>
      </w:r>
    </w:p>
    <w:p w14:paraId="7472EDEB" w14:textId="77777777" w:rsidR="00D84031" w:rsidRDefault="007965BB">
      <w:r>
        <w:rPr>
          <w:color w:val="000000"/>
        </w:rPr>
        <w:t>Another possible focus could be on mobilising a particular cultural and creative industry to contribute to health and well-being, such as for instance the video games industry. Ever more people spend ever more time on games, making this an important and growing source of cultural experiences, with a strong interactive component. Besides being a source of entertainment, video game communities give opportunities for isolated, underprivileged or discriminated people to find a sense of belonging, and to contrib</w:t>
      </w:r>
      <w:r>
        <w:rPr>
          <w:color w:val="000000"/>
        </w:rPr>
        <w:t>ute to societal goals. At the same time, however, a context of competitivity and anonymity may invite harassment and discrimination in online multi-player video games.</w:t>
      </w:r>
    </w:p>
    <w:p w14:paraId="781E342C" w14:textId="77777777" w:rsidR="00D84031" w:rsidRDefault="007965BB">
      <w:r>
        <w:rPr>
          <w:color w:val="000000"/>
        </w:rPr>
        <w:t>A third possible focus could be an implementation research approach, exploring the obstacles to adoption of already validated arts and culture –based intervention(s) that support health and well-being, and developing effective way(s) to achieve broad uptake.</w:t>
      </w:r>
    </w:p>
    <w:p w14:paraId="39C47A17" w14:textId="77777777" w:rsidR="00D84031" w:rsidRDefault="007965BB">
      <w:r>
        <w:rPr>
          <w:color w:val="000000"/>
        </w:rPr>
        <w:t>In order to achieve evidence-based and validated practices that can be understood and used by CHIs and/or CCSI as well as by other targeted key actors and stakeholders, projects should involve stakeholders from such sectors. To validate practices, projects may launch small scale pilot trials but may also choose other validation methods appropriate to the focus chosen. As appropriate for the focus chosen, projects should properly take the gender dimension into account, such as for instance gender differences</w:t>
      </w:r>
      <w:r>
        <w:rPr>
          <w:color w:val="000000"/>
        </w:rPr>
        <w:t xml:space="preserve"> in cultural participation and its consequences. Projects may award financial support to third parties in order to involve entities such as CCSI, CHIs or other important stakeholders which are not part of the project consortium. Such support can only be given in the form of grants.</w:t>
      </w:r>
    </w:p>
    <w:p w14:paraId="418C92CE" w14:textId="77777777" w:rsidR="00D84031" w:rsidRDefault="007965BB">
      <w:r>
        <w:rPr>
          <w:color w:val="000000"/>
        </w:rPr>
        <w:t xml:space="preserve">To the extent appropriate, projects should build on previous research and innovation and established methods. In particular, as appropriate, projects may establish links to the project funded under call topic ‘HORIZON-CL2-2025-01-HERITAGE-09 Impacts of Culture and the Arts on Health and Well-being’. </w:t>
      </w:r>
    </w:p>
    <w:p w14:paraId="48E8C97E" w14:textId="77777777" w:rsidR="00D84031" w:rsidRDefault="007965BB">
      <w:pPr>
        <w:pStyle w:val="HeadingThree"/>
      </w:pPr>
      <w:r>
        <w:t>HORIZON-CL2-2027-01-HERITAGE-05: Re-imagining the creative economy: the interplay between the cultural and creative sectors and industries and the social economy</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5787B36E" w14:textId="77777777" w:rsidTr="00C62CF4">
        <w:tc>
          <w:tcPr>
            <w:tcW w:w="0" w:type="auto"/>
            <w:gridSpan w:val="2"/>
          </w:tcPr>
          <w:p w14:paraId="2586CCC1" w14:textId="77777777" w:rsidR="00D84031" w:rsidRDefault="007965BB">
            <w:pPr>
              <w:pStyle w:val="CellTextValue"/>
            </w:pPr>
            <w:r>
              <w:rPr>
                <w:b/>
              </w:rPr>
              <w:t>Call: Culture, Creativity and Inclusive Society - 2027</w:t>
            </w:r>
          </w:p>
        </w:tc>
      </w:tr>
      <w:tr w:rsidR="00C62CF4" w14:paraId="28FBE933" w14:textId="77777777" w:rsidTr="00C62CF4">
        <w:tc>
          <w:tcPr>
            <w:tcW w:w="0" w:type="auto"/>
            <w:gridSpan w:val="2"/>
          </w:tcPr>
          <w:p w14:paraId="0BFB6785" w14:textId="77777777" w:rsidR="00D84031" w:rsidRDefault="007965BB">
            <w:pPr>
              <w:pStyle w:val="CellTextValue"/>
            </w:pPr>
            <w:r>
              <w:rPr>
                <w:b/>
              </w:rPr>
              <w:t>Specific conditions</w:t>
            </w:r>
          </w:p>
        </w:tc>
      </w:tr>
      <w:tr w:rsidR="00D84031" w14:paraId="1EACCA6A" w14:textId="77777777">
        <w:tc>
          <w:tcPr>
            <w:tcW w:w="0" w:type="auto"/>
          </w:tcPr>
          <w:p w14:paraId="632E0099" w14:textId="77777777" w:rsidR="00D84031" w:rsidRDefault="007965BB">
            <w:pPr>
              <w:pStyle w:val="CellTextValue"/>
              <w:jc w:val="left"/>
            </w:pPr>
            <w:r>
              <w:rPr>
                <w:i/>
              </w:rPr>
              <w:t>Expected EU contribution per project</w:t>
            </w:r>
          </w:p>
        </w:tc>
        <w:tc>
          <w:tcPr>
            <w:tcW w:w="0" w:type="auto"/>
          </w:tcPr>
          <w:p w14:paraId="76D9DAD3" w14:textId="77777777" w:rsidR="00D84031" w:rsidRDefault="007965BB">
            <w:pPr>
              <w:pStyle w:val="CellTextValue"/>
            </w:pPr>
            <w:r>
              <w:t>The Commission estimates that an EU contribution of between EUR 3.00 and 3.50 million would allow these outcomes to be addressed appropriately. Nonetheless, this does not preclude submission and selection of a proposal requesting different amounts.</w:t>
            </w:r>
          </w:p>
        </w:tc>
      </w:tr>
      <w:tr w:rsidR="00D84031" w14:paraId="2DDCE055" w14:textId="77777777">
        <w:tc>
          <w:tcPr>
            <w:tcW w:w="0" w:type="auto"/>
          </w:tcPr>
          <w:p w14:paraId="65DDFE6D" w14:textId="77777777" w:rsidR="00D84031" w:rsidRDefault="007965BB">
            <w:pPr>
              <w:pStyle w:val="CellTextValue"/>
              <w:jc w:val="left"/>
            </w:pPr>
            <w:r>
              <w:rPr>
                <w:i/>
              </w:rPr>
              <w:t>Indicative budget</w:t>
            </w:r>
          </w:p>
        </w:tc>
        <w:tc>
          <w:tcPr>
            <w:tcW w:w="0" w:type="auto"/>
          </w:tcPr>
          <w:p w14:paraId="1076851A" w14:textId="77777777" w:rsidR="00D84031" w:rsidRDefault="007965BB">
            <w:pPr>
              <w:pStyle w:val="CellTextValue"/>
            </w:pPr>
            <w:r>
              <w:t xml:space="preserve">The total indicative budget for the topic is EUR 10.50 </w:t>
            </w:r>
            <w:r>
              <w:t>million.</w:t>
            </w:r>
          </w:p>
        </w:tc>
      </w:tr>
      <w:tr w:rsidR="00D84031" w14:paraId="099A1342" w14:textId="77777777">
        <w:tc>
          <w:tcPr>
            <w:tcW w:w="0" w:type="auto"/>
          </w:tcPr>
          <w:p w14:paraId="0D96E4F7" w14:textId="77777777" w:rsidR="00D84031" w:rsidRDefault="007965BB">
            <w:pPr>
              <w:pStyle w:val="CellTextValue"/>
              <w:jc w:val="left"/>
            </w:pPr>
            <w:r>
              <w:rPr>
                <w:i/>
              </w:rPr>
              <w:lastRenderedPageBreak/>
              <w:t>Type of Action</w:t>
            </w:r>
          </w:p>
        </w:tc>
        <w:tc>
          <w:tcPr>
            <w:tcW w:w="0" w:type="auto"/>
          </w:tcPr>
          <w:p w14:paraId="70DA812A" w14:textId="77777777" w:rsidR="00D84031" w:rsidRDefault="007965BB">
            <w:pPr>
              <w:pStyle w:val="CellTextValue"/>
            </w:pPr>
            <w:r>
              <w:rPr>
                <w:color w:val="000000"/>
              </w:rPr>
              <w:t>Research and Innovation Actions</w:t>
            </w:r>
          </w:p>
        </w:tc>
      </w:tr>
      <w:tr w:rsidR="00D84031" w14:paraId="036E7B5A" w14:textId="77777777">
        <w:tc>
          <w:tcPr>
            <w:tcW w:w="0" w:type="auto"/>
          </w:tcPr>
          <w:p w14:paraId="76E18D23" w14:textId="77777777" w:rsidR="00D84031" w:rsidRDefault="007965BB">
            <w:pPr>
              <w:pStyle w:val="CellTextValue"/>
              <w:jc w:val="left"/>
            </w:pPr>
            <w:r>
              <w:rPr>
                <w:i/>
              </w:rPr>
              <w:t>Legal and financial set-up of the Grant Agreements</w:t>
            </w:r>
          </w:p>
        </w:tc>
        <w:tc>
          <w:tcPr>
            <w:tcW w:w="0" w:type="auto"/>
          </w:tcPr>
          <w:p w14:paraId="45F06077" w14:textId="77777777" w:rsidR="00D84031" w:rsidRDefault="007965BB">
            <w:pPr>
              <w:pStyle w:val="CellTextValue"/>
            </w:pPr>
            <w:r>
              <w:rPr>
                <w:color w:val="000000"/>
              </w:rPr>
              <w:t>The rules are described in General Annex G. The following exceptions apply:</w:t>
            </w:r>
          </w:p>
          <w:p w14:paraId="31B18CAC"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29"/>
            </w:r>
            <w:r>
              <w:rPr>
                <w:color w:val="000000"/>
              </w:rPr>
              <w:t>.</w:t>
            </w:r>
          </w:p>
        </w:tc>
      </w:tr>
    </w:tbl>
    <w:p w14:paraId="407EEF81" w14:textId="77777777" w:rsidR="00D84031" w:rsidRDefault="00D84031">
      <w:pPr>
        <w:spacing w:after="0" w:line="150" w:lineRule="auto"/>
      </w:pPr>
    </w:p>
    <w:p w14:paraId="60B71076" w14:textId="77777777" w:rsidR="00D84031" w:rsidRDefault="007965BB">
      <w:r>
        <w:rPr>
          <w:u w:val="single"/>
        </w:rPr>
        <w:t>Expected Outcome</w:t>
      </w:r>
      <w:r>
        <w:t xml:space="preserve">: </w:t>
      </w:r>
      <w:r>
        <w:rPr>
          <w:color w:val="000000"/>
        </w:rPr>
        <w:t>Projects should contribute to all of the following expected outcomes:</w:t>
      </w:r>
    </w:p>
    <w:p w14:paraId="69FF6E95" w14:textId="77777777" w:rsidR="00D84031" w:rsidRDefault="007965BB" w:rsidP="00C62CF4">
      <w:pPr>
        <w:pStyle w:val="ListParagraph"/>
        <w:numPr>
          <w:ilvl w:val="0"/>
          <w:numId w:val="49"/>
        </w:numPr>
      </w:pPr>
      <w:r>
        <w:rPr>
          <w:color w:val="000000"/>
        </w:rPr>
        <w:t>Evidence-based policy frameworks and guidelines promoting the convergence of creative and social economy models.</w:t>
      </w:r>
    </w:p>
    <w:p w14:paraId="074243AB" w14:textId="77777777" w:rsidR="00D84031" w:rsidRDefault="007965BB" w:rsidP="00C62CF4">
      <w:pPr>
        <w:pStyle w:val="ListParagraph"/>
        <w:numPr>
          <w:ilvl w:val="0"/>
          <w:numId w:val="49"/>
        </w:numPr>
      </w:pPr>
      <w:r>
        <w:rPr>
          <w:color w:val="000000"/>
        </w:rPr>
        <w:t>Case studies, indicators, and evaluation methods to measure the social and economic impact of CCSI in social economy frameworks. These tools are provided for policymakers and stakeholders, with areas for improvement identified.</w:t>
      </w:r>
    </w:p>
    <w:p w14:paraId="142A9C10" w14:textId="77777777" w:rsidR="00D84031" w:rsidRDefault="007965BB" w:rsidP="00C62CF4">
      <w:pPr>
        <w:pStyle w:val="ListParagraph"/>
        <w:numPr>
          <w:ilvl w:val="0"/>
          <w:numId w:val="49"/>
        </w:numPr>
      </w:pPr>
      <w:r>
        <w:rPr>
          <w:color w:val="000000"/>
        </w:rPr>
        <w:t>Hybrid CCSI business models that incorporate social economy principles, balancing profitability and social responsibility, showcasing scalable examples across different regions and sectors.</w:t>
      </w:r>
    </w:p>
    <w:p w14:paraId="41B1DA58" w14:textId="77777777" w:rsidR="00D84031" w:rsidRDefault="007965BB" w:rsidP="00C62CF4">
      <w:pPr>
        <w:pStyle w:val="ListParagraph"/>
        <w:numPr>
          <w:ilvl w:val="0"/>
          <w:numId w:val="49"/>
        </w:numPr>
      </w:pPr>
      <w:r>
        <w:rPr>
          <w:color w:val="000000"/>
        </w:rPr>
        <w:t xml:space="preserve">Workforce development strategies addressing precarious employment in creative sectors, including alternative employment structures, skill-sharing, and professional development, and enhancing socio-economic diversity and mobility in creative industries, using gender-sensitive and intersectional approaches to address inequalities.  </w:t>
      </w:r>
    </w:p>
    <w:p w14:paraId="5F123536" w14:textId="77777777" w:rsidR="00D84031" w:rsidRDefault="007965BB">
      <w:r>
        <w:rPr>
          <w:u w:val="single"/>
        </w:rPr>
        <w:t>Scope</w:t>
      </w:r>
      <w:r>
        <w:t xml:space="preserve">: </w:t>
      </w:r>
      <w:r>
        <w:rPr>
          <w:color w:val="000000"/>
        </w:rPr>
        <w:t xml:space="preserve">The intersection of social </w:t>
      </w:r>
      <w:r>
        <w:rPr>
          <w:color w:val="000000"/>
        </w:rPr>
        <w:t>economy</w:t>
      </w:r>
      <w:r>
        <w:rPr>
          <w:vertAlign w:val="superscript"/>
        </w:rPr>
        <w:footnoteReference w:id="130"/>
      </w:r>
      <w:r>
        <w:rPr>
          <w:color w:val="000000"/>
        </w:rPr>
        <w:t>]</w:t>
      </w:r>
      <w:r>
        <w:rPr>
          <w:color w:val="000000"/>
          <w:vertAlign w:val="superscript"/>
        </w:rPr>
        <w:t xml:space="preserve"> </w:t>
      </w:r>
      <w:r>
        <w:rPr>
          <w:color w:val="000000"/>
        </w:rPr>
        <w:t xml:space="preserve">and the cultural and creative sectors and industries (CCSI) provides fertile ground for advancing sustainable and inclusive development across public and private domains. Enhancing synergies between private initiatives (impact-oriented enterprises, cooperatives, associations) and public policy can unlock innovative models, fostering hybrid approaches that blend public mission with entrepreneurial strategies. Studies highlight the role of social economy entities in CCSI for </w:t>
      </w:r>
      <w:r>
        <w:rPr>
          <w:color w:val="000000"/>
        </w:rPr>
        <w:lastRenderedPageBreak/>
        <w:t>local development through ecolog</w:t>
      </w:r>
      <w:r>
        <w:rPr>
          <w:color w:val="000000"/>
        </w:rPr>
        <w:t>ical approaches, territorial clustering, and community engagement, as well as for improving employment and working conditions and promoting inclusive growth</w:t>
      </w:r>
      <w:r>
        <w:rPr>
          <w:vertAlign w:val="superscript"/>
        </w:rPr>
        <w:footnoteReference w:id="131"/>
      </w:r>
      <w:r>
        <w:rPr>
          <w:color w:val="000000"/>
        </w:rPr>
        <w:t>.</w:t>
      </w:r>
    </w:p>
    <w:p w14:paraId="58905140" w14:textId="77777777" w:rsidR="00D84031" w:rsidRDefault="007965BB">
      <w:r>
        <w:rPr>
          <w:color w:val="000000"/>
        </w:rPr>
        <w:t>The European Commission’s 2021 Action Plan for the social economy, complemented by the EU Social Economy Gateway</w:t>
      </w:r>
      <w:r>
        <w:rPr>
          <w:vertAlign w:val="superscript"/>
        </w:rPr>
        <w:footnoteReference w:id="132"/>
      </w:r>
      <w:r>
        <w:rPr>
          <w:color w:val="000000"/>
        </w:rPr>
        <w:t>, and the Organisation for Economic Co-operation and Development (OECD) underscore the CCSI potential for economic growth, job creation, and innovation. The OECD further notes that integrating social economy models in culture and creativity can stabilise employment, improve working conditions in creative industries, which often face precarious employment and limited access to credit, and foster sustainability, innovation and social cohesion</w:t>
      </w:r>
      <w:r>
        <w:rPr>
          <w:vertAlign w:val="superscript"/>
        </w:rPr>
        <w:footnoteReference w:id="133"/>
      </w:r>
      <w:r>
        <w:rPr>
          <w:color w:val="000000"/>
        </w:rPr>
        <w:t>. In April 2023, the UN General Assembly recognised the social economy as critical to inclusive and sustainable economies</w:t>
      </w:r>
      <w:r>
        <w:rPr>
          <w:vertAlign w:val="superscript"/>
        </w:rPr>
        <w:footnoteReference w:id="134"/>
      </w:r>
      <w:r>
        <w:rPr>
          <w:color w:val="000000"/>
        </w:rPr>
        <w:t>.</w:t>
      </w:r>
    </w:p>
    <w:p w14:paraId="3389EF06" w14:textId="77777777" w:rsidR="00D84031" w:rsidRDefault="007965BB">
      <w:r>
        <w:rPr>
          <w:color w:val="000000"/>
        </w:rPr>
        <w:t>Embracing social economy principles in CCSI can address major societal challenges such as income inequality and social cohesion, while driving culture- and creativity-led innovation and inclusive growth across Europe.</w:t>
      </w:r>
    </w:p>
    <w:p w14:paraId="4DA38CCD" w14:textId="77777777" w:rsidR="00D84031" w:rsidRDefault="007965BB">
      <w:r>
        <w:rPr>
          <w:color w:val="000000"/>
        </w:rPr>
        <w:t>Reimagining the creative economy requires CCSIs to engage with broader societal and economic frameworks. This topic aims to enhance the transformative potential of CCSIs’ interplay with the social economy in Europe. Proposals are expected to investigate, develop, and test innovative frameworks and models that leverage social economy principles in culture and creativity to drive social impact, economic sustainability, quality jobs creation, and vibrant, resilient cultural and creative sectors. By moving beyo</w:t>
      </w:r>
      <w:r>
        <w:rPr>
          <w:color w:val="000000"/>
        </w:rPr>
        <w:t>nd traditional market logics and adopting cooperative, participatory and socially oriented models, proposals will identify scalable strategies for ethical business, revenue diversification, and embedding social purpose in creative innovation. This may include developing technical or legal assistance and support services enabling CCSIs to access shared resources, enhance resilience, and build community capital. These efforts will empower CCSIs to catalyse inclusive, sustainable transformation and position Eu</w:t>
      </w:r>
      <w:r>
        <w:rPr>
          <w:color w:val="000000"/>
        </w:rPr>
        <w:t xml:space="preserve">rope as a leader in a fairer creative economy. </w:t>
      </w:r>
    </w:p>
    <w:p w14:paraId="165D633A" w14:textId="77777777" w:rsidR="00D84031" w:rsidRDefault="007965BB">
      <w:r>
        <w:rPr>
          <w:color w:val="000000"/>
        </w:rPr>
        <w:t>Key areas of focus, to be addressed through inter-, multi- and trans-disciplinary approaches, including cross-sectoral cooperation and stakeholder involvement:</w:t>
      </w:r>
    </w:p>
    <w:p w14:paraId="17B457E1" w14:textId="77777777" w:rsidR="00D84031" w:rsidRDefault="007965BB">
      <w:r>
        <w:rPr>
          <w:color w:val="000000"/>
        </w:rPr>
        <w:t>1. Sustainable Growth and Quality Employment</w:t>
      </w:r>
    </w:p>
    <w:p w14:paraId="7C9C01DD" w14:textId="77777777" w:rsidR="00D84031" w:rsidRDefault="007965BB" w:rsidP="00C62CF4">
      <w:pPr>
        <w:pStyle w:val="ListParagraph"/>
        <w:numPr>
          <w:ilvl w:val="0"/>
          <w:numId w:val="50"/>
        </w:numPr>
      </w:pPr>
      <w:r>
        <w:rPr>
          <w:color w:val="000000"/>
        </w:rPr>
        <w:t>Analyse social economy models’ impact on CCSI sustainability, resilience, and growth, particularly during crises.</w:t>
      </w:r>
    </w:p>
    <w:p w14:paraId="08008528" w14:textId="77777777" w:rsidR="00D84031" w:rsidRDefault="007965BB" w:rsidP="00C62CF4">
      <w:pPr>
        <w:pStyle w:val="ListParagraph"/>
        <w:numPr>
          <w:ilvl w:val="0"/>
          <w:numId w:val="50"/>
        </w:numPr>
      </w:pPr>
      <w:r>
        <w:rPr>
          <w:color w:val="000000"/>
        </w:rPr>
        <w:t>Examine how social economy principles address precarious employment, support alternative employment, and foster professional development.</w:t>
      </w:r>
    </w:p>
    <w:p w14:paraId="17010B67" w14:textId="77777777" w:rsidR="00D84031" w:rsidRDefault="007965BB" w:rsidP="00C62CF4">
      <w:pPr>
        <w:pStyle w:val="ListParagraph"/>
        <w:numPr>
          <w:ilvl w:val="0"/>
          <w:numId w:val="50"/>
        </w:numPr>
      </w:pPr>
      <w:r>
        <w:rPr>
          <w:color w:val="000000"/>
        </w:rPr>
        <w:lastRenderedPageBreak/>
        <w:t>Explore financing mechanisms, fiscal incentives and solutions to sector-specific challenges, to incentivize social reinvestment.</w:t>
      </w:r>
    </w:p>
    <w:p w14:paraId="1E1F26EB" w14:textId="77777777" w:rsidR="00D84031" w:rsidRDefault="007965BB" w:rsidP="00C62CF4">
      <w:pPr>
        <w:pStyle w:val="ListParagraph"/>
        <w:numPr>
          <w:ilvl w:val="0"/>
          <w:numId w:val="50"/>
        </w:numPr>
      </w:pPr>
      <w:r>
        <w:rPr>
          <w:color w:val="000000"/>
        </w:rPr>
        <w:t>Investigate how social economy enterprises address socio-economic diversity, income inequality, inclusivity, and promote innovation including within CCSIs.</w:t>
      </w:r>
      <w:r>
        <w:rPr>
          <w:vertAlign w:val="superscript"/>
        </w:rPr>
        <w:footnoteReference w:id="135"/>
      </w:r>
      <w:r>
        <w:rPr>
          <w:color w:val="000000"/>
        </w:rPr>
        <w:t xml:space="preserve"> </w:t>
      </w:r>
    </w:p>
    <w:p w14:paraId="2C24B733" w14:textId="77777777" w:rsidR="00D84031" w:rsidRDefault="007965BB">
      <w:r>
        <w:rPr>
          <w:color w:val="000000"/>
        </w:rPr>
        <w:t>2. Innovation, local development and social impact</w:t>
      </w:r>
    </w:p>
    <w:p w14:paraId="1794F15A" w14:textId="77777777" w:rsidR="00D84031" w:rsidRDefault="007965BB" w:rsidP="00C62CF4">
      <w:pPr>
        <w:pStyle w:val="ListParagraph"/>
        <w:numPr>
          <w:ilvl w:val="0"/>
          <w:numId w:val="51"/>
        </w:numPr>
      </w:pPr>
      <w:r>
        <w:rPr>
          <w:color w:val="000000"/>
        </w:rPr>
        <w:t>Investigate how CCSI social enterprises drive innovation (including social innovation), social participation, and empower marginalized groups.</w:t>
      </w:r>
    </w:p>
    <w:p w14:paraId="47FBCAA8" w14:textId="77777777" w:rsidR="00D84031" w:rsidRDefault="007965BB" w:rsidP="00C62CF4">
      <w:pPr>
        <w:pStyle w:val="ListParagraph"/>
        <w:numPr>
          <w:ilvl w:val="0"/>
          <w:numId w:val="51"/>
        </w:numPr>
      </w:pPr>
      <w:r>
        <w:rPr>
          <w:color w:val="000000"/>
        </w:rPr>
        <w:t>Highlight social entrepreneurship’s role in catalysing new business models and value-driven practices addressing societal challenges</w:t>
      </w:r>
    </w:p>
    <w:p w14:paraId="219A7B61" w14:textId="77777777" w:rsidR="00D84031" w:rsidRDefault="007965BB" w:rsidP="00C62CF4">
      <w:pPr>
        <w:pStyle w:val="ListParagraph"/>
        <w:numPr>
          <w:ilvl w:val="0"/>
          <w:numId w:val="51"/>
        </w:numPr>
      </w:pPr>
      <w:r>
        <w:rPr>
          <w:color w:val="000000"/>
        </w:rPr>
        <w:t xml:space="preserve">Assess CCSI social economy enterprises contribution to local development, social cohesion, and responsible consumption.  </w:t>
      </w:r>
    </w:p>
    <w:p w14:paraId="3E7C04BE" w14:textId="77777777" w:rsidR="00D84031" w:rsidRDefault="007965BB">
      <w:r>
        <w:rPr>
          <w:color w:val="000000"/>
        </w:rPr>
        <w:t>3. Policy and comparative studies</w:t>
      </w:r>
    </w:p>
    <w:p w14:paraId="36CEB1F5" w14:textId="77777777" w:rsidR="00D84031" w:rsidRDefault="007965BB" w:rsidP="00C62CF4">
      <w:pPr>
        <w:pStyle w:val="ListParagraph"/>
        <w:numPr>
          <w:ilvl w:val="0"/>
          <w:numId w:val="52"/>
        </w:numPr>
      </w:pPr>
      <w:r>
        <w:rPr>
          <w:color w:val="000000"/>
        </w:rPr>
        <w:t xml:space="preserve">Analyse and compare policy frameworks supporting the convergence of creative economy and social economy models in the EU and beyond. </w:t>
      </w:r>
    </w:p>
    <w:p w14:paraId="328DE20A" w14:textId="77777777" w:rsidR="00D84031" w:rsidRDefault="007965BB">
      <w:r>
        <w:rPr>
          <w:color w:val="000000"/>
        </w:rPr>
        <w:t xml:space="preserve">Identify best practices and propose recommendations for integrated strategies enhancing sustainable, inclusive development and innovation. </w:t>
      </w:r>
    </w:p>
    <w:p w14:paraId="082571E7" w14:textId="77777777" w:rsidR="00D84031" w:rsidRDefault="007965BB">
      <w:pPr>
        <w:pStyle w:val="HeadingThree"/>
      </w:pPr>
      <w:r>
        <w:t>HORIZON-CL2-2027-01-HERITAGE-06: Future-proofing sustainable cultural tourism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C62CF4" w14:paraId="549770B4" w14:textId="77777777" w:rsidTr="00C62CF4">
        <w:tc>
          <w:tcPr>
            <w:tcW w:w="0" w:type="auto"/>
            <w:gridSpan w:val="2"/>
          </w:tcPr>
          <w:p w14:paraId="1F8F5D59" w14:textId="77777777" w:rsidR="00D84031" w:rsidRDefault="007965BB">
            <w:pPr>
              <w:pStyle w:val="CellTextValue"/>
            </w:pPr>
            <w:r>
              <w:rPr>
                <w:b/>
              </w:rPr>
              <w:t>Call: Culture, Creativity and Inclusive Society - 2027</w:t>
            </w:r>
          </w:p>
        </w:tc>
      </w:tr>
      <w:tr w:rsidR="00C62CF4" w14:paraId="3676DBD2" w14:textId="77777777" w:rsidTr="00C62CF4">
        <w:tc>
          <w:tcPr>
            <w:tcW w:w="0" w:type="auto"/>
            <w:gridSpan w:val="2"/>
          </w:tcPr>
          <w:p w14:paraId="50CB98BC" w14:textId="77777777" w:rsidR="00D84031" w:rsidRDefault="007965BB">
            <w:pPr>
              <w:pStyle w:val="CellTextValue"/>
            </w:pPr>
            <w:r>
              <w:rPr>
                <w:b/>
              </w:rPr>
              <w:t>Specific conditions</w:t>
            </w:r>
          </w:p>
        </w:tc>
      </w:tr>
      <w:tr w:rsidR="00D84031" w14:paraId="75E2C8C5" w14:textId="77777777">
        <w:tc>
          <w:tcPr>
            <w:tcW w:w="0" w:type="auto"/>
          </w:tcPr>
          <w:p w14:paraId="08DBCDF3" w14:textId="77777777" w:rsidR="00D84031" w:rsidRDefault="007965BB">
            <w:pPr>
              <w:pStyle w:val="CellTextValue"/>
              <w:jc w:val="left"/>
            </w:pPr>
            <w:r>
              <w:rPr>
                <w:i/>
              </w:rPr>
              <w:t xml:space="preserve">Expected EU contribution per </w:t>
            </w:r>
            <w:r>
              <w:rPr>
                <w:i/>
              </w:rPr>
              <w:t>project</w:t>
            </w:r>
          </w:p>
        </w:tc>
        <w:tc>
          <w:tcPr>
            <w:tcW w:w="0" w:type="auto"/>
          </w:tcPr>
          <w:p w14:paraId="7378A1C4" w14:textId="77777777" w:rsidR="00D84031" w:rsidRDefault="007965BB">
            <w:pPr>
              <w:pStyle w:val="CellTextValue"/>
            </w:pPr>
            <w:r>
              <w:t>The Commission estimates that an EU contribution of between EUR 4.00 and 4.80 million would allow these outcomes to be addressed appropriately. Nonetheless, this does not preclude submission and selection of a proposal requesting different amounts.</w:t>
            </w:r>
          </w:p>
        </w:tc>
      </w:tr>
      <w:tr w:rsidR="00D84031" w14:paraId="77B3FE44" w14:textId="77777777">
        <w:tc>
          <w:tcPr>
            <w:tcW w:w="0" w:type="auto"/>
          </w:tcPr>
          <w:p w14:paraId="183D356A" w14:textId="77777777" w:rsidR="00D84031" w:rsidRDefault="007965BB">
            <w:pPr>
              <w:pStyle w:val="CellTextValue"/>
              <w:jc w:val="left"/>
            </w:pPr>
            <w:r>
              <w:rPr>
                <w:i/>
              </w:rPr>
              <w:t>Indicative budget</w:t>
            </w:r>
          </w:p>
        </w:tc>
        <w:tc>
          <w:tcPr>
            <w:tcW w:w="0" w:type="auto"/>
          </w:tcPr>
          <w:p w14:paraId="7F36E31E" w14:textId="77777777" w:rsidR="00D84031" w:rsidRDefault="007965BB">
            <w:pPr>
              <w:pStyle w:val="CellTextValue"/>
            </w:pPr>
            <w:r>
              <w:t>The total indicative budget for the topic is EUR 14.50 million.</w:t>
            </w:r>
          </w:p>
        </w:tc>
      </w:tr>
      <w:tr w:rsidR="00D84031" w14:paraId="3BE46015" w14:textId="77777777">
        <w:tc>
          <w:tcPr>
            <w:tcW w:w="0" w:type="auto"/>
          </w:tcPr>
          <w:p w14:paraId="4F2E6705" w14:textId="77777777" w:rsidR="00D84031" w:rsidRDefault="007965BB">
            <w:pPr>
              <w:pStyle w:val="CellTextValue"/>
              <w:jc w:val="left"/>
            </w:pPr>
            <w:r>
              <w:rPr>
                <w:i/>
              </w:rPr>
              <w:t>Type of Action</w:t>
            </w:r>
          </w:p>
        </w:tc>
        <w:tc>
          <w:tcPr>
            <w:tcW w:w="0" w:type="auto"/>
          </w:tcPr>
          <w:p w14:paraId="42330F72" w14:textId="77777777" w:rsidR="00D84031" w:rsidRDefault="007965BB">
            <w:pPr>
              <w:pStyle w:val="CellTextValue"/>
            </w:pPr>
            <w:r>
              <w:rPr>
                <w:color w:val="000000"/>
              </w:rPr>
              <w:t>Research and Innovation Actions</w:t>
            </w:r>
          </w:p>
        </w:tc>
      </w:tr>
      <w:tr w:rsidR="00D84031" w14:paraId="29B84711" w14:textId="77777777">
        <w:tc>
          <w:tcPr>
            <w:tcW w:w="0" w:type="auto"/>
          </w:tcPr>
          <w:p w14:paraId="4346CD09" w14:textId="77777777" w:rsidR="00D84031" w:rsidRDefault="007965BB">
            <w:pPr>
              <w:pStyle w:val="CellTextValue"/>
              <w:jc w:val="left"/>
            </w:pPr>
            <w:r>
              <w:rPr>
                <w:i/>
              </w:rPr>
              <w:t>Eligibility conditions</w:t>
            </w:r>
          </w:p>
        </w:tc>
        <w:tc>
          <w:tcPr>
            <w:tcW w:w="0" w:type="auto"/>
          </w:tcPr>
          <w:p w14:paraId="0E34B015" w14:textId="77777777" w:rsidR="00D84031" w:rsidRDefault="007965BB">
            <w:pPr>
              <w:pStyle w:val="CellTextValue"/>
            </w:pPr>
            <w:r>
              <w:rPr>
                <w:color w:val="000000"/>
              </w:rPr>
              <w:t>The conditions are described in General Annex B. The following exceptions apply:</w:t>
            </w:r>
          </w:p>
          <w:p w14:paraId="1653D8FE" w14:textId="77777777" w:rsidR="00D84031" w:rsidRDefault="007965BB">
            <w:pPr>
              <w:pStyle w:val="CellTextValue"/>
            </w:pPr>
            <w:r>
              <w:rPr>
                <w:color w:val="000000"/>
              </w:rPr>
              <w:t xml:space="preserve">Subject to </w:t>
            </w:r>
            <w:r>
              <w:rPr>
                <w:color w:val="000000"/>
              </w:rPr>
              <w:t xml:space="preserve">restrictions for the protection of European communication </w:t>
            </w:r>
            <w:r>
              <w:rPr>
                <w:color w:val="000000"/>
              </w:rPr>
              <w:lastRenderedPageBreak/>
              <w:t>networks.</w:t>
            </w:r>
          </w:p>
        </w:tc>
      </w:tr>
      <w:tr w:rsidR="00D84031" w14:paraId="10A65F3F" w14:textId="77777777">
        <w:tc>
          <w:tcPr>
            <w:tcW w:w="0" w:type="auto"/>
          </w:tcPr>
          <w:p w14:paraId="1D8B12E5" w14:textId="77777777" w:rsidR="00D84031" w:rsidRDefault="007965BB">
            <w:pPr>
              <w:pStyle w:val="CellTextValue"/>
              <w:jc w:val="left"/>
            </w:pPr>
            <w:r>
              <w:rPr>
                <w:i/>
              </w:rPr>
              <w:lastRenderedPageBreak/>
              <w:t>Legal and financial set-up of the Grant Agreements</w:t>
            </w:r>
          </w:p>
        </w:tc>
        <w:tc>
          <w:tcPr>
            <w:tcW w:w="0" w:type="auto"/>
          </w:tcPr>
          <w:p w14:paraId="7B60AC1C" w14:textId="77777777" w:rsidR="00D84031" w:rsidRDefault="007965BB">
            <w:pPr>
              <w:pStyle w:val="CellTextValue"/>
            </w:pPr>
            <w:r>
              <w:rPr>
                <w:color w:val="000000"/>
              </w:rPr>
              <w:t>The rules are described in General Annex G. The following exceptions apply:</w:t>
            </w:r>
          </w:p>
          <w:p w14:paraId="46B7B4F8"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36"/>
            </w:r>
            <w:r>
              <w:rPr>
                <w:color w:val="000000"/>
              </w:rPr>
              <w:t>.</w:t>
            </w:r>
          </w:p>
        </w:tc>
      </w:tr>
    </w:tbl>
    <w:p w14:paraId="59A09C7F" w14:textId="77777777" w:rsidR="00D84031" w:rsidRDefault="00D84031">
      <w:pPr>
        <w:spacing w:after="0" w:line="150" w:lineRule="auto"/>
      </w:pPr>
    </w:p>
    <w:p w14:paraId="01A09F37" w14:textId="77777777" w:rsidR="00D84031" w:rsidRDefault="007965BB">
      <w:r>
        <w:rPr>
          <w:u w:val="single"/>
        </w:rPr>
        <w:t>Expected Outcome</w:t>
      </w:r>
      <w:r>
        <w:t xml:space="preserve">: </w:t>
      </w:r>
      <w:r>
        <w:rPr>
          <w:color w:val="000000"/>
        </w:rPr>
        <w:t>Projects should contribute to the first expected outcome, plus those under either Focus 1 or Focus 2, depending on the chosen focus</w:t>
      </w:r>
    </w:p>
    <w:p w14:paraId="0A08A3C0" w14:textId="77777777" w:rsidR="00D84031" w:rsidRDefault="007965BB" w:rsidP="00C62CF4">
      <w:pPr>
        <w:pStyle w:val="ListParagraph"/>
        <w:numPr>
          <w:ilvl w:val="0"/>
          <w:numId w:val="53"/>
        </w:numPr>
      </w:pPr>
      <w:r>
        <w:rPr>
          <w:color w:val="000000"/>
        </w:rPr>
        <w:t xml:space="preserve">Evidence-based policy recommendations and solutions for integrating cultural tourism into strategies for regenerative sustainability, digital transformation, social inclusion and gender equality at all levels of government. As a result, cultural tourism becomes a stronger driver of regenerative sustainable development, increases workforce numbers and skills, and improves working conditions. Research impact is maximised through coordinated dissemination and policy co-creation, facilitating implementation of </w:t>
      </w:r>
      <w:r>
        <w:rPr>
          <w:color w:val="000000"/>
        </w:rPr>
        <w:t xml:space="preserve">research-based solutions by policymakers and stakeholders.  </w:t>
      </w:r>
    </w:p>
    <w:p w14:paraId="087EBB05" w14:textId="77777777" w:rsidR="00D84031" w:rsidRDefault="007965BB">
      <w:r>
        <w:rPr>
          <w:b/>
          <w:color w:val="000000"/>
        </w:rPr>
        <w:t>Focus 1</w:t>
      </w:r>
    </w:p>
    <w:p w14:paraId="00D96BA0" w14:textId="77777777" w:rsidR="00D84031" w:rsidRDefault="007965BB" w:rsidP="00C62CF4">
      <w:pPr>
        <w:pStyle w:val="ListParagraph"/>
        <w:numPr>
          <w:ilvl w:val="0"/>
          <w:numId w:val="54"/>
        </w:numPr>
      </w:pPr>
      <w:r>
        <w:rPr>
          <w:color w:val="000000"/>
        </w:rPr>
        <w:t xml:space="preserve">A comprehensive analytical framework for ethical AI integration in sustainable cultural tourism balancing sustainable competitiveness with cultural authenticity and </w:t>
      </w:r>
      <w:r>
        <w:rPr>
          <w:color w:val="000000"/>
        </w:rPr>
        <w:t>inclusivity.</w:t>
      </w:r>
    </w:p>
    <w:p w14:paraId="300288D1" w14:textId="77777777" w:rsidR="00D84031" w:rsidRDefault="007965BB" w:rsidP="00C62CF4">
      <w:pPr>
        <w:pStyle w:val="ListParagraph"/>
        <w:numPr>
          <w:ilvl w:val="0"/>
          <w:numId w:val="54"/>
        </w:numPr>
      </w:pPr>
      <w:r>
        <w:rPr>
          <w:color w:val="000000"/>
        </w:rPr>
        <w:t xml:space="preserve">Methodological frameworks and tools for AI-assisted foresight in cultural tourism enabling policymakers, civil society and stakeholders to anticipate changes and adapt strategies proactively.  </w:t>
      </w:r>
    </w:p>
    <w:p w14:paraId="6C479826" w14:textId="77777777" w:rsidR="00D84031" w:rsidRDefault="007965BB">
      <w:r>
        <w:rPr>
          <w:b/>
          <w:color w:val="000000"/>
        </w:rPr>
        <w:t>Focus 2</w:t>
      </w:r>
    </w:p>
    <w:p w14:paraId="11A4CBD0" w14:textId="77777777" w:rsidR="00D84031" w:rsidRDefault="007965BB" w:rsidP="00C62CF4">
      <w:pPr>
        <w:pStyle w:val="ListParagraph"/>
        <w:numPr>
          <w:ilvl w:val="0"/>
          <w:numId w:val="55"/>
        </w:numPr>
      </w:pPr>
      <w:r>
        <w:rPr>
          <w:color w:val="000000"/>
        </w:rPr>
        <w:t>Evidence-based, community-centric models and strategies for sustainable cultural tourism in emerging and less-developed destinations, adaptable to diverse contexts within and beyond the EU.</w:t>
      </w:r>
    </w:p>
    <w:p w14:paraId="7A2BB483" w14:textId="77777777" w:rsidR="00D84031" w:rsidRDefault="007965BB" w:rsidP="00C62CF4">
      <w:pPr>
        <w:pStyle w:val="ListParagraph"/>
        <w:numPr>
          <w:ilvl w:val="0"/>
          <w:numId w:val="55"/>
        </w:numPr>
      </w:pPr>
      <w:r>
        <w:rPr>
          <w:color w:val="000000"/>
        </w:rPr>
        <w:t xml:space="preserve">An international collaborative network for small business and civil society in cultural tourism, focused on cross-border partnerships, regenerative practices and equitable benefit-sharing. This network will connect stakeholders with researchers, policymakers, expertise, and resources to co-create culturally respectful, regenerative cultural tourism models and improve workforce conditions in underserved regions.  </w:t>
      </w:r>
    </w:p>
    <w:p w14:paraId="79B91081" w14:textId="77777777" w:rsidR="00D84031" w:rsidRDefault="007965BB">
      <w:r>
        <w:rPr>
          <w:u w:val="single"/>
        </w:rPr>
        <w:lastRenderedPageBreak/>
        <w:t>Scope</w:t>
      </w:r>
      <w:r>
        <w:t xml:space="preserve">: </w:t>
      </w:r>
      <w:r>
        <w:rPr>
          <w:color w:val="000000"/>
        </w:rPr>
        <w:t>Cultural tourism accounts for about 40% of global tourism</w:t>
      </w:r>
      <w:r>
        <w:rPr>
          <w:vertAlign w:val="superscript"/>
        </w:rPr>
        <w:footnoteReference w:id="137"/>
      </w:r>
      <w:r>
        <w:rPr>
          <w:color w:val="000000"/>
        </w:rPr>
        <w:t xml:space="preserve"> and continues to grow as travellers seek unique, authentic, and immersive experiences. In addition to its economic benefits, cultural tourism enriches societies through cultural exchange and cross-cultural understanding. The sector faces major transformation driven by technological advancement, shifting consumer expectations, climate change, sustainability imperatives, and threats to cultural integrity – including commodification and heritage degradation. Furthermore, there is a growing emphasis on inclusi</w:t>
      </w:r>
      <w:r>
        <w:rPr>
          <w:color w:val="000000"/>
        </w:rPr>
        <w:t>ve and meaningful travel experiences, including accessibility for travellers with disabilities and others with specific needs. This topic takes a multidimensional approach to future-proofing sustainable cultural tourism amid technological, social and environmental change across the EU and beyond. Proposals should select either Focus 1 or Focus 2 and clearly state their selection:</w:t>
      </w:r>
    </w:p>
    <w:p w14:paraId="4BBB1C13" w14:textId="77777777" w:rsidR="00D84031" w:rsidRDefault="007965BB">
      <w:r>
        <w:rPr>
          <w:b/>
          <w:color w:val="000000"/>
        </w:rPr>
        <w:t>Focus 1: Transformative AI integration and strategic foresight for cultural tourism resilience</w:t>
      </w:r>
    </w:p>
    <w:p w14:paraId="6430DE71" w14:textId="77777777" w:rsidR="00D84031" w:rsidRDefault="007965BB">
      <w:r>
        <w:rPr>
          <w:color w:val="000000"/>
        </w:rPr>
        <w:t xml:space="preserve">Proposals are expected to explore how integrating AI-powered tools and other emerging technologies with cultural tourism can strengthen its resilience, inclusivity, and sustainability. Additionally, through AI-assisted participatory foresight proposals should address the need for tourism systems to move from reactive management to anticipatory governance models, building resilience to global challenges. </w:t>
      </w:r>
    </w:p>
    <w:p w14:paraId="41D27136" w14:textId="77777777" w:rsidR="00D84031" w:rsidRDefault="007965BB">
      <w:r>
        <w:rPr>
          <w:color w:val="000000"/>
        </w:rPr>
        <w:t>Proposals should investigate AI applications that reshape cultural tourism experiences while ensuring that they remain authentic and respectful of local integrity; enhance inclusivity, including equal access to technology and improved accessibility for persons with disabilities; help manage visitor pressure. They could leverage available public and private data and infrastructures, such as the Data space for tourism.</w:t>
      </w:r>
      <w:r>
        <w:rPr>
          <w:vertAlign w:val="superscript"/>
        </w:rPr>
        <w:footnoteReference w:id="138"/>
      </w:r>
      <w:r>
        <w:rPr>
          <w:color w:val="000000"/>
          <w:vertAlign w:val="superscript"/>
        </w:rPr>
        <w:t xml:space="preserve"> </w:t>
      </w:r>
      <w:r>
        <w:rPr>
          <w:color w:val="000000"/>
        </w:rPr>
        <w:t xml:space="preserve">Building on recent developments in AI and immersive technologies, proposals could for example use AI-powered virtual and augmented reality to boost visitor engagement and cross-cultural appreciation of cultural sites while preserving historical integrity. They should investigate novel approaches to AI-driven personalisation that develop inclusive, non-discriminatory, tailored cultural experiences, which are ethically managed, and ensure fair representation of minority or lesser-known heritage and cultural </w:t>
      </w:r>
      <w:r>
        <w:rPr>
          <w:color w:val="000000"/>
        </w:rPr>
        <w:t xml:space="preserve">expressions. </w:t>
      </w:r>
    </w:p>
    <w:p w14:paraId="414E0E7E" w14:textId="77777777" w:rsidR="00D84031" w:rsidRDefault="007965BB">
      <w:r>
        <w:rPr>
          <w:color w:val="000000"/>
        </w:rPr>
        <w:t>Proposals could analyse the integration of AI in multilingual interpretation and cultural mediation to overcome language barriers and deepen cultural understanding of local contexts or develop and refine AI-powered tools for visitor flow management, real-time heritage monitoring, and balancing preservation with inclusive tourism.</w:t>
      </w:r>
    </w:p>
    <w:p w14:paraId="6A8EC47F" w14:textId="77777777" w:rsidR="00D84031" w:rsidRDefault="007965BB">
      <w:r>
        <w:rPr>
          <w:color w:val="000000"/>
        </w:rPr>
        <w:t xml:space="preserve">Furthermore, proposals are expected to develop methodological frameworks for applying AI-assisted foresight (scenario planning, horizon scanning, among others to anticipate trends and challenges in cultural tourism – such as shifts in visitor behaviour, cultural commodification risks, and potential disruptions (eg related to climate, pandemics, energy crises), enabling the identification of opportunities and risks and fostering proactive, data-informed policy </w:t>
      </w:r>
      <w:r>
        <w:rPr>
          <w:color w:val="000000"/>
        </w:rPr>
        <w:lastRenderedPageBreak/>
        <w:t>responses. AI-based predictive analytics should be combined with participatory workshops to engage local communities, authorities, and cultural organisations in co-creating forward-looking sustainable tourism strategies.</w:t>
      </w:r>
    </w:p>
    <w:p w14:paraId="02153C58" w14:textId="77777777" w:rsidR="00D84031" w:rsidRDefault="007965BB">
      <w:r>
        <w:rPr>
          <w:b/>
          <w:color w:val="000000"/>
        </w:rPr>
        <w:t>Focus 2: Cultural tourism as a catalyst for sustainable local development</w:t>
      </w:r>
    </w:p>
    <w:p w14:paraId="03B8A748" w14:textId="77777777" w:rsidR="00D84031" w:rsidRDefault="007965BB">
      <w:r>
        <w:rPr>
          <w:color w:val="000000"/>
        </w:rPr>
        <w:t>Proposals are expected to develop sustainable cultural tourism frameworks and strategies tailored to emerging and less-developed destinations, especially in low-income and lesser-known regions seeking to leverage culture and creativity for economic growth and social development, including through addressing depopulation and preventing overtourism. Partnerships with non-EU countries are encouraged. Proposals should investigate cross-border collaboration models that enable mutual learning, upskilling, fair wo</w:t>
      </w:r>
      <w:r>
        <w:rPr>
          <w:color w:val="000000"/>
        </w:rPr>
        <w:t>rking conditions, knowledge transfer and capacity building between EU and non-EU partners. Proposals should identify and adapt proven sustainable cultural tourism models to diverse less-developed settings (urban, peri-urban, rural) emphasizing equitable benefit-sharing. The research should include the analysis of case studies of successful community integration in cultural tourism decision-making. Partnerships among local communities, creative industries (including crafts), local businesses and cultural her</w:t>
      </w:r>
      <w:r>
        <w:rPr>
          <w:color w:val="000000"/>
        </w:rPr>
        <w:t>itage organisations should be prioritised to co-create economically viable, environmentally balanced, authentic and culturally respectful tourism offerings, potentially using living labs and pilot demonstrations. Projects are expected to establish collaborative networks for small businesses and civil society actors in cultural tourism, supporting them through access to researchers, policymakers, expertise, knowledge, resources and collaborative opportunities.</w:t>
      </w:r>
    </w:p>
    <w:p w14:paraId="5DF6282F" w14:textId="77777777" w:rsidR="00D84031" w:rsidRDefault="007965BB">
      <w:r>
        <w:rPr>
          <w:color w:val="000000"/>
        </w:rPr>
        <w:t>Regardless of focus, all proposals should ensure policy uptake of existing knowledge, tools, and best practices from past and ongoing EU-funded research on cultural tourism and related areas. They should develop frameworks integrating cultural tourism with broader sustainability, digital transformation, and social inclusion goals. Furthermore, they should create co-creative policy development methodologies involving diverse stakeholders (policymakers across various government levels, local communities, NGOs</w:t>
      </w:r>
      <w:r>
        <w:rPr>
          <w:color w:val="000000"/>
        </w:rPr>
        <w:t>, businesses, industry) to translate research insights into evidence-based strategies and contextually appropriate interventions boosting cultural tourism as a resource for sustainable development and fostering workforce growth and skills, and improved working conditions in cultural tourism. Finally, they should establish continuous knowledge exchange mechanisms among researchers, practitioners, and policymakers to ensure ongoing relevance and impact.</w:t>
      </w:r>
    </w:p>
    <w:p w14:paraId="4770784B" w14:textId="77777777" w:rsidR="00D84031" w:rsidRDefault="007965BB">
      <w:pPr>
        <w:pStyle w:val="HeadingThree"/>
      </w:pPr>
      <w:r>
        <w:t>HORIZON-CL2-2027-01-HERITAGE-07: Societal impact of cultural heritage</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48DFD942" w14:textId="77777777" w:rsidTr="00C62CF4">
        <w:tc>
          <w:tcPr>
            <w:tcW w:w="0" w:type="auto"/>
            <w:gridSpan w:val="2"/>
          </w:tcPr>
          <w:p w14:paraId="40C3AF03" w14:textId="77777777" w:rsidR="00D84031" w:rsidRDefault="007965BB">
            <w:pPr>
              <w:pStyle w:val="CellTextValue"/>
            </w:pPr>
            <w:r>
              <w:rPr>
                <w:b/>
              </w:rPr>
              <w:t>Call: Culture, Creativity and Inclusive Society - 2027</w:t>
            </w:r>
          </w:p>
        </w:tc>
      </w:tr>
      <w:tr w:rsidR="00C62CF4" w14:paraId="55A6F177" w14:textId="77777777" w:rsidTr="00C62CF4">
        <w:tc>
          <w:tcPr>
            <w:tcW w:w="0" w:type="auto"/>
            <w:gridSpan w:val="2"/>
          </w:tcPr>
          <w:p w14:paraId="4E9E86D4" w14:textId="77777777" w:rsidR="00D84031" w:rsidRDefault="007965BB">
            <w:pPr>
              <w:pStyle w:val="CellTextValue"/>
            </w:pPr>
            <w:r>
              <w:rPr>
                <w:b/>
              </w:rPr>
              <w:t>Specific conditions</w:t>
            </w:r>
          </w:p>
        </w:tc>
      </w:tr>
      <w:tr w:rsidR="00D84031" w14:paraId="351F8B77" w14:textId="77777777">
        <w:tc>
          <w:tcPr>
            <w:tcW w:w="0" w:type="auto"/>
          </w:tcPr>
          <w:p w14:paraId="008A413E" w14:textId="77777777" w:rsidR="00D84031" w:rsidRDefault="007965BB">
            <w:pPr>
              <w:pStyle w:val="CellTextValue"/>
              <w:jc w:val="left"/>
            </w:pPr>
            <w:r>
              <w:rPr>
                <w:i/>
              </w:rPr>
              <w:t>Expected EU contribution per project</w:t>
            </w:r>
          </w:p>
        </w:tc>
        <w:tc>
          <w:tcPr>
            <w:tcW w:w="0" w:type="auto"/>
          </w:tcPr>
          <w:p w14:paraId="52F5A749" w14:textId="77777777" w:rsidR="00D84031" w:rsidRDefault="007965BB">
            <w:pPr>
              <w:pStyle w:val="CellTextValue"/>
            </w:pPr>
            <w:r>
              <w:t xml:space="preserve">The Commission estimates that an EU contribution of between EUR 2.50 and 3.00 million would allow these outcomes to be addressed appropriately. Nonetheless, this does not preclude submission and </w:t>
            </w:r>
            <w:r>
              <w:lastRenderedPageBreak/>
              <w:t>selection of a proposal requesting different amounts.</w:t>
            </w:r>
          </w:p>
        </w:tc>
      </w:tr>
      <w:tr w:rsidR="00D84031" w14:paraId="33541B7C" w14:textId="77777777">
        <w:tc>
          <w:tcPr>
            <w:tcW w:w="0" w:type="auto"/>
          </w:tcPr>
          <w:p w14:paraId="16362169" w14:textId="77777777" w:rsidR="00D84031" w:rsidRDefault="007965BB">
            <w:pPr>
              <w:pStyle w:val="CellTextValue"/>
              <w:jc w:val="left"/>
            </w:pPr>
            <w:r>
              <w:rPr>
                <w:i/>
              </w:rPr>
              <w:lastRenderedPageBreak/>
              <w:t>Indicative budget</w:t>
            </w:r>
          </w:p>
        </w:tc>
        <w:tc>
          <w:tcPr>
            <w:tcW w:w="0" w:type="auto"/>
          </w:tcPr>
          <w:p w14:paraId="35AC7011" w14:textId="77777777" w:rsidR="00D84031" w:rsidRDefault="007965BB">
            <w:pPr>
              <w:pStyle w:val="CellTextValue"/>
            </w:pPr>
            <w:r>
              <w:t>The total indicative budget for the topic is EUR 15.00 million.</w:t>
            </w:r>
          </w:p>
        </w:tc>
      </w:tr>
      <w:tr w:rsidR="00D84031" w14:paraId="4E13A87B" w14:textId="77777777">
        <w:tc>
          <w:tcPr>
            <w:tcW w:w="0" w:type="auto"/>
          </w:tcPr>
          <w:p w14:paraId="3CAF3FAF" w14:textId="77777777" w:rsidR="00D84031" w:rsidRDefault="007965BB">
            <w:pPr>
              <w:pStyle w:val="CellTextValue"/>
              <w:jc w:val="left"/>
            </w:pPr>
            <w:r>
              <w:rPr>
                <w:i/>
              </w:rPr>
              <w:t>Type of Action</w:t>
            </w:r>
          </w:p>
        </w:tc>
        <w:tc>
          <w:tcPr>
            <w:tcW w:w="0" w:type="auto"/>
          </w:tcPr>
          <w:p w14:paraId="2A2AFC09" w14:textId="77777777" w:rsidR="00D84031" w:rsidRDefault="007965BB">
            <w:pPr>
              <w:pStyle w:val="CellTextValue"/>
            </w:pPr>
            <w:r>
              <w:rPr>
                <w:color w:val="000000"/>
              </w:rPr>
              <w:t>Research and Innovation Actions</w:t>
            </w:r>
          </w:p>
        </w:tc>
      </w:tr>
      <w:tr w:rsidR="00D84031" w14:paraId="10198720" w14:textId="77777777">
        <w:tc>
          <w:tcPr>
            <w:tcW w:w="0" w:type="auto"/>
          </w:tcPr>
          <w:p w14:paraId="63334DE6" w14:textId="77777777" w:rsidR="00D84031" w:rsidRDefault="007965BB">
            <w:pPr>
              <w:pStyle w:val="CellTextValue"/>
              <w:jc w:val="left"/>
            </w:pPr>
            <w:r>
              <w:rPr>
                <w:i/>
              </w:rPr>
              <w:t>Procedure</w:t>
            </w:r>
          </w:p>
        </w:tc>
        <w:tc>
          <w:tcPr>
            <w:tcW w:w="0" w:type="auto"/>
          </w:tcPr>
          <w:p w14:paraId="42405AE1" w14:textId="77777777" w:rsidR="00D84031" w:rsidRDefault="007965BB">
            <w:pPr>
              <w:pStyle w:val="CellTextValue"/>
            </w:pPr>
            <w:r>
              <w:rPr>
                <w:color w:val="000000"/>
              </w:rPr>
              <w:t xml:space="preserve">The procedure is described in General Annex F. The </w:t>
            </w:r>
            <w:r>
              <w:rPr>
                <w:color w:val="000000"/>
              </w:rPr>
              <w:t>following exceptions apply:</w:t>
            </w:r>
          </w:p>
          <w:p w14:paraId="39EB39EA" w14:textId="77777777" w:rsidR="00D84031" w:rsidRDefault="007965BB">
            <w:pPr>
              <w:pStyle w:val="CellTextValue"/>
            </w:pPr>
            <w:r>
              <w:rPr>
                <w:color w:val="000000"/>
              </w:rPr>
              <w:t xml:space="preserve">To ensure a balanced portfolio, grants will be awarded to applications not only in order of ranking but at least also to those that are the highest ranked within each area provided in the scope (A, B and C), provided that the applications attain all thresholds. </w:t>
            </w:r>
          </w:p>
        </w:tc>
      </w:tr>
      <w:tr w:rsidR="00D84031" w14:paraId="48DA7E17" w14:textId="77777777">
        <w:tc>
          <w:tcPr>
            <w:tcW w:w="0" w:type="auto"/>
          </w:tcPr>
          <w:p w14:paraId="3E61842F" w14:textId="77777777" w:rsidR="00D84031" w:rsidRDefault="007965BB">
            <w:pPr>
              <w:pStyle w:val="CellTextValue"/>
              <w:jc w:val="left"/>
            </w:pPr>
            <w:r>
              <w:rPr>
                <w:i/>
              </w:rPr>
              <w:t>Legal and financial set-up of the Grant Agreements</w:t>
            </w:r>
          </w:p>
        </w:tc>
        <w:tc>
          <w:tcPr>
            <w:tcW w:w="0" w:type="auto"/>
          </w:tcPr>
          <w:p w14:paraId="3E18C356" w14:textId="77777777" w:rsidR="00D84031" w:rsidRDefault="007965BB">
            <w:pPr>
              <w:pStyle w:val="CellTextValue"/>
            </w:pPr>
            <w:r>
              <w:rPr>
                <w:color w:val="000000"/>
              </w:rPr>
              <w:t>The rules are described in General Annex G. The following exceptions apply:</w:t>
            </w:r>
          </w:p>
          <w:p w14:paraId="570A7FED"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39"/>
            </w:r>
            <w:r>
              <w:rPr>
                <w:color w:val="000000"/>
              </w:rPr>
              <w:t>.</w:t>
            </w:r>
          </w:p>
        </w:tc>
      </w:tr>
    </w:tbl>
    <w:p w14:paraId="01240DC7" w14:textId="77777777" w:rsidR="00D84031" w:rsidRDefault="00D84031">
      <w:pPr>
        <w:spacing w:after="0" w:line="150" w:lineRule="auto"/>
      </w:pPr>
    </w:p>
    <w:p w14:paraId="5F314177" w14:textId="77777777" w:rsidR="00D84031" w:rsidRDefault="007965BB">
      <w:r>
        <w:rPr>
          <w:u w:val="single"/>
        </w:rPr>
        <w:t>Expected Outcome</w:t>
      </w:r>
      <w:r>
        <w:t xml:space="preserve">: </w:t>
      </w:r>
      <w:r>
        <w:rPr>
          <w:color w:val="000000"/>
        </w:rPr>
        <w:t>Projects should contribute to all of the following expected outcomes:</w:t>
      </w:r>
    </w:p>
    <w:p w14:paraId="7FA95895" w14:textId="77777777" w:rsidR="00D84031" w:rsidRDefault="007965BB" w:rsidP="00C62CF4">
      <w:pPr>
        <w:pStyle w:val="ListParagraph"/>
        <w:numPr>
          <w:ilvl w:val="0"/>
          <w:numId w:val="56"/>
        </w:numPr>
      </w:pPr>
      <w:r>
        <w:rPr>
          <w:color w:val="000000"/>
        </w:rPr>
        <w:t xml:space="preserve">Enhanced understanding of the societal impact of cultural heritage; Good practices and case studies to enable positive societal impact described and documented, for the context of the research area chosen. </w:t>
      </w:r>
    </w:p>
    <w:p w14:paraId="1EB83614" w14:textId="77777777" w:rsidR="00D84031" w:rsidRDefault="007965BB" w:rsidP="00C62CF4">
      <w:pPr>
        <w:pStyle w:val="ListParagraph"/>
        <w:numPr>
          <w:ilvl w:val="0"/>
          <w:numId w:val="56"/>
        </w:numPr>
      </w:pPr>
      <w:r>
        <w:rPr>
          <w:color w:val="000000"/>
        </w:rPr>
        <w:t xml:space="preserve">Capacity building and knowledge dissemination among practitioners and policymakers. </w:t>
      </w:r>
    </w:p>
    <w:p w14:paraId="1BFF711D" w14:textId="77777777" w:rsidR="00D84031" w:rsidRDefault="007965BB" w:rsidP="00C62CF4">
      <w:pPr>
        <w:pStyle w:val="ListParagraph"/>
        <w:numPr>
          <w:ilvl w:val="0"/>
          <w:numId w:val="56"/>
        </w:numPr>
      </w:pPr>
      <w:r>
        <w:rPr>
          <w:color w:val="000000"/>
        </w:rPr>
        <w:t xml:space="preserve">Produce and disseminate policy recommendations, guidance, and toolkits, supporting policymakers, in. the context of the research area chosen as appropriate.  </w:t>
      </w:r>
    </w:p>
    <w:p w14:paraId="31A322D4" w14:textId="77777777" w:rsidR="00D84031" w:rsidRDefault="007965BB">
      <w:r>
        <w:rPr>
          <w:u w:val="single"/>
        </w:rPr>
        <w:t>Scope</w:t>
      </w:r>
      <w:r>
        <w:t xml:space="preserve">: </w:t>
      </w:r>
      <w:r>
        <w:rPr>
          <w:color w:val="000000"/>
        </w:rPr>
        <w:t xml:space="preserve">Heritage is a dynamic resource that can foster societal resilience, intercultural dialogue, and a sense of belonging in increasingly diverse and fragmented societies. Thus, cultural heritage is central to the preservation of the social fabric and community cohesion. Understanding and amplifying the societal impact of cultural heritage is essential for reinforcing identity, cohesion, and global leadership based on shared values. Research proposals should explore how cultural heritage actively shapes civic </w:t>
      </w:r>
      <w:r>
        <w:rPr>
          <w:color w:val="000000"/>
        </w:rPr>
        <w:t>engagement, social innovation, collective memory, and the transmission of democratic values.</w:t>
      </w:r>
    </w:p>
    <w:p w14:paraId="5A7BE8D2" w14:textId="77777777" w:rsidR="00D84031" w:rsidRDefault="007965BB">
      <w:r>
        <w:rPr>
          <w:color w:val="000000"/>
        </w:rPr>
        <w:t xml:space="preserve">Moreover, it is crucial to develop new narratives around heritage — ones that are forward-looking, critically aware, and deeply connected to Europe's evolving values. Such work will </w:t>
      </w:r>
      <w:r>
        <w:rPr>
          <w:color w:val="000000"/>
        </w:rPr>
        <w:lastRenderedPageBreak/>
        <w:t xml:space="preserve">not only strengthen Europe's </w:t>
      </w:r>
      <w:r>
        <w:rPr>
          <w:color w:val="000000"/>
        </w:rPr>
        <w:t>internal cohesion but also position cultural heritage as a strategic asset in addressing global challenges.</w:t>
      </w:r>
    </w:p>
    <w:p w14:paraId="5E9F96E8" w14:textId="77777777" w:rsidR="00D84031" w:rsidRDefault="007965BB">
      <w:r>
        <w:rPr>
          <w:color w:val="000000"/>
        </w:rPr>
        <w:t>In this context, social innovation could also translate into working with cultural heritage practitioners and custodians to explore how cultural heritage can solve some of today's societal challenges (achieving better social inclusion, social cohesion, well-being, and equality). Whereas previous research has widely explored developing heritage-based education, contribution of culture to rural development and cultural tourism, there are some fields that could benefit from more research: cultural participatio</w:t>
      </w:r>
      <w:r>
        <w:rPr>
          <w:color w:val="000000"/>
        </w:rPr>
        <w:t>n and access to culture, with a focus on young people; gender roles and identities; a shared cultural heritage and shared responsibility in the light of security challenges.</w:t>
      </w:r>
    </w:p>
    <w:p w14:paraId="2B6D1B39" w14:textId="77777777" w:rsidR="00D84031" w:rsidRDefault="007965BB">
      <w:r>
        <w:rPr>
          <w:color w:val="000000"/>
        </w:rPr>
        <w:t xml:space="preserve">Research projects should choose one of the following areas: </w:t>
      </w:r>
    </w:p>
    <w:p w14:paraId="13BA247D" w14:textId="77777777" w:rsidR="00D84031" w:rsidRDefault="007965BB">
      <w:r>
        <w:rPr>
          <w:color w:val="000000"/>
        </w:rPr>
        <w:t xml:space="preserve">A. </w:t>
      </w:r>
      <w:r>
        <w:rPr>
          <w:b/>
          <w:color w:val="000000"/>
        </w:rPr>
        <w:t>Cultural participation and access to cultural heritage</w:t>
      </w:r>
    </w:p>
    <w:p w14:paraId="67168D86" w14:textId="77777777" w:rsidR="00D84031" w:rsidRDefault="007965BB">
      <w:r>
        <w:rPr>
          <w:color w:val="000000"/>
        </w:rPr>
        <w:t>Access to culture, acquired through socialisation and education, plays a crucial role in shaping cultural practices and preferences. As mentioned in the Political Guidelines</w:t>
      </w:r>
      <w:r>
        <w:rPr>
          <w:vertAlign w:val="superscript"/>
        </w:rPr>
        <w:footnoteReference w:id="140"/>
      </w:r>
      <w:r>
        <w:rPr>
          <w:color w:val="000000"/>
        </w:rPr>
        <w:t xml:space="preserve"> for the European Commission, there is a need to improve access to cultural heritage, in particular for young people, and contribute to tackle cultural inequality and strengthen a sense of identity and belonging. In addition, attention should be paid to disadvantaged groups, eventually solidifying participatory culture and democracy and fostering a sense of stewardship towards cultural heritage.</w:t>
      </w:r>
    </w:p>
    <w:p w14:paraId="67403DC5" w14:textId="77777777" w:rsidR="00D84031" w:rsidRDefault="007965BB">
      <w:r>
        <w:rPr>
          <w:color w:val="000000"/>
        </w:rPr>
        <w:t>A Special Eurobarometer on Europeans’ Attitudes Towards Culture</w:t>
      </w:r>
      <w:r>
        <w:rPr>
          <w:vertAlign w:val="superscript"/>
        </w:rPr>
        <w:footnoteReference w:id="141"/>
      </w:r>
      <w:r>
        <w:rPr>
          <w:color w:val="000000"/>
        </w:rPr>
        <w:t>, published in May 2025, showed that a majority of Europeans believe that their country and the EU should work more closely together when it comes to making arts and culture more accessible to everyone.</w:t>
      </w:r>
    </w:p>
    <w:p w14:paraId="268EA495" w14:textId="77777777" w:rsidR="00D84031" w:rsidRDefault="007965BB">
      <w:r>
        <w:rPr>
          <w:color w:val="000000"/>
        </w:rPr>
        <w:t>Prior research</w:t>
      </w:r>
      <w:r>
        <w:rPr>
          <w:vertAlign w:val="superscript"/>
        </w:rPr>
        <w:footnoteReference w:id="142"/>
      </w:r>
      <w:r>
        <w:rPr>
          <w:color w:val="000000"/>
        </w:rPr>
        <w:t xml:space="preserve"> indicates that increased cultural participation can potentially enhance civic engagement, social inclusion, and democratic governance. However, research also indicates profound and multifaceted barriers to access. These barriers include, for example, geography, including the challenge of rural isolation; under-representation of minority groups; economic disparity.</w:t>
      </w:r>
    </w:p>
    <w:p w14:paraId="494C9ED4" w14:textId="77777777" w:rsidR="00D84031" w:rsidRDefault="007965BB">
      <w:r>
        <w:rPr>
          <w:color w:val="000000"/>
        </w:rPr>
        <w:t xml:space="preserve">The proposals should explore good practices for fostering access to cultural heritage, with a focus on young people and ways to empower them to take an active role in their communities and strengthen social cohesion. Proposals should also explore which are the main barriers for access to culture and effective means to increase cultural participation, identifying specificities for different types of groups. </w:t>
      </w:r>
    </w:p>
    <w:p w14:paraId="1B75F56C" w14:textId="77777777" w:rsidR="00D84031" w:rsidRDefault="007965BB">
      <w:r>
        <w:rPr>
          <w:color w:val="000000"/>
        </w:rPr>
        <w:t xml:space="preserve"> The proposals should employ interdisciplinary and participatory methods to identify effective models for inclusive cultural participation. Results are expected to guide policies on cultural </w:t>
      </w:r>
      <w:r>
        <w:rPr>
          <w:color w:val="000000"/>
        </w:rPr>
        <w:lastRenderedPageBreak/>
        <w:t>access, with recommendations, for instance, for digital infrastructure, educational programmes, and cross-sector collaboration to foster inclusive citizenship.</w:t>
      </w:r>
    </w:p>
    <w:p w14:paraId="1754F1E0" w14:textId="77777777" w:rsidR="00D84031" w:rsidRDefault="007965BB">
      <w:r>
        <w:rPr>
          <w:color w:val="000000"/>
        </w:rPr>
        <w:t xml:space="preserve">B. </w:t>
      </w:r>
      <w:r>
        <w:rPr>
          <w:b/>
          <w:color w:val="000000"/>
        </w:rPr>
        <w:t>Gender roles and identities</w:t>
      </w:r>
    </w:p>
    <w:p w14:paraId="30CFD659" w14:textId="77777777" w:rsidR="00D84031" w:rsidRDefault="007965BB">
      <w:r>
        <w:rPr>
          <w:color w:val="000000"/>
        </w:rPr>
        <w:t>Cultural heritage has the power to promote diversity and inclusion by showcasing diverse narratives and histories, but it can also perpetuate inequality if stereotypes, cultural role models, and representations are limited or biased, silencing marginalised voices.</w:t>
      </w:r>
    </w:p>
    <w:p w14:paraId="305EE21C" w14:textId="77777777" w:rsidR="00D84031" w:rsidRDefault="007965BB">
      <w:r>
        <w:rPr>
          <w:color w:val="000000"/>
        </w:rPr>
        <w:t>The proposed research should explore the complex relationships between cultural productions, representations and societal attitudes towards different sexes and gender identities, with a focus on understanding how culture can shape our cultural landscape and influence our attitudes and imaginaries.</w:t>
      </w:r>
    </w:p>
    <w:p w14:paraId="4315147A" w14:textId="77777777" w:rsidR="00D84031" w:rsidRDefault="007965BB">
      <w:r>
        <w:rPr>
          <w:color w:val="000000"/>
        </w:rPr>
        <w:t>Proposals should provide an analysis of the representation and overview, at a supranational level, of different gender identities and intersecting factors such as racial or ethnical background, disability or socioeconomic background, in cultural fields. Proposals should explore how gender aspects have been absent, or forgotten, in major supranational cultural narratives. Proposals should provide actionable recommendations on how to promote a more inclusive and diverse representation, including in the cultur</w:t>
      </w:r>
      <w:r>
        <w:rPr>
          <w:color w:val="000000"/>
        </w:rPr>
        <w:t xml:space="preserve">al content, and to address the absence of diverse representations in the cultural field. These recommendations should be developed in a dialogue with different stakeholders, for example researchers, policymakers, cultural heritage institutions, civil society representatives. </w:t>
      </w:r>
    </w:p>
    <w:p w14:paraId="1ABF7107" w14:textId="77777777" w:rsidR="00D84031" w:rsidRDefault="007965BB">
      <w:r>
        <w:rPr>
          <w:color w:val="000000"/>
        </w:rPr>
        <w:t xml:space="preserve">C. </w:t>
      </w:r>
      <w:r>
        <w:rPr>
          <w:b/>
          <w:color w:val="000000"/>
        </w:rPr>
        <w:t>Cultural heritage, cohesion and security</w:t>
      </w:r>
    </w:p>
    <w:p w14:paraId="3D5FD1D1" w14:textId="77777777" w:rsidR="00D84031" w:rsidRDefault="007965BB">
      <w:r>
        <w:rPr>
          <w:color w:val="000000"/>
        </w:rPr>
        <w:t xml:space="preserve">The proposed research should explore the role and conceptualisation of cultural heritage as a distinctive element of our shared identities and democratic values. It should also examine the links between culture and security including issues of disinformation and propaganda etc. Proposals are expected to explore the notions of shared heritage and shared responsibility as an expression of our social interdependence, and culture as a factor of union and cohesion. </w:t>
      </w:r>
    </w:p>
    <w:p w14:paraId="20010237" w14:textId="77777777" w:rsidR="00D84031" w:rsidRDefault="007965BB">
      <w:r>
        <w:rPr>
          <w:color w:val="000000"/>
        </w:rPr>
        <w:t>Cases of instrumentalisation of cultural heritage and the political influence on museums or other cultural institutions should also be taken into account in the research. Culture can also face factors of destabilisation, attacks on cultural heritage can destabilise society and jeopardize security while cultural content can greatly influence public opinion and the imaginaries. The proposals should explore how to deal with polarising narratives and controversial aspects of cultural heritage use.</w:t>
      </w:r>
    </w:p>
    <w:p w14:paraId="61BEAFCD" w14:textId="77777777" w:rsidR="00D84031" w:rsidRDefault="007965BB">
      <w:r>
        <w:rPr>
          <w:color w:val="000000"/>
        </w:rPr>
        <w:t>The proposals should propose good practices, policy guidelines, run pilot projects and propose didactic materials to raise awareness on existing challenges, enhance “neutrality” in cultural heritage management, collective responsibility and cultural resilience; explore the notions of care and repair applied to cultural heritage.</w:t>
      </w:r>
    </w:p>
    <w:p w14:paraId="6B6B31AC" w14:textId="77777777" w:rsidR="00D84031" w:rsidRDefault="007965BB">
      <w:r>
        <w:rPr>
          <w:color w:val="000000"/>
        </w:rPr>
        <w:t>Proposals shall clearly indicate the thematic area they have selected to work on.</w:t>
      </w:r>
    </w:p>
    <w:p w14:paraId="0A5D8A66" w14:textId="77777777" w:rsidR="00D84031" w:rsidRDefault="007965BB">
      <w:r>
        <w:rPr>
          <w:color w:val="000000"/>
        </w:rPr>
        <w:lastRenderedPageBreak/>
        <w:t>Proposals should adopt a multidisciplinary approach (involving, for instance and not exhaustively, heritage and museum studies, cultural anthropology, ethnology, media studies, theatre studies, literary studies, musicology etc.) to assess and demonstrate how cultural heritage initiatives contribute to societal well-being, community empowerment, inclusion, and sustainable development while identification of needs for further research in the field should be promoted.</w:t>
      </w:r>
    </w:p>
    <w:p w14:paraId="419328B9" w14:textId="77777777" w:rsidR="00D84031" w:rsidRDefault="007965BB">
      <w:r>
        <w:rPr>
          <w:color w:val="000000"/>
        </w:rPr>
        <w:t>Proposals should prioritize empirical research, participatory methodologies, and policy innovation to maximize and communicate the transformative power of cultural heritage across all layers of society.</w:t>
      </w:r>
    </w:p>
    <w:p w14:paraId="458E077D" w14:textId="77777777" w:rsidR="00D84031" w:rsidRDefault="007965BB">
      <w:r>
        <w:rPr>
          <w:color w:val="000000"/>
        </w:rPr>
        <w:t>Proposals should connect to both formal and non-formal education, particularly arts education. Encouraging collaboration between cultural heritage actors and educational institutions would enhance impact.</w:t>
      </w:r>
    </w:p>
    <w:p w14:paraId="74C22EC8" w14:textId="77777777" w:rsidR="00D84031" w:rsidRDefault="007965BB">
      <w:r>
        <w:rPr>
          <w:color w:val="000000"/>
        </w:rPr>
        <w:t>Proposals should build on existing knowledge, activities, networks and platforms, notably the ones funded by the EU, for example paying attention to the future digital tools and platforms provided by the European Collaborative Cloud for Cultural Heritage (ECCCH), and the Common European Data Space for Cultural Heritage.</w:t>
      </w:r>
    </w:p>
    <w:p w14:paraId="5889AFD5" w14:textId="77777777" w:rsidR="00D84031" w:rsidRDefault="007965BB">
      <w:r>
        <w:rPr>
          <w:color w:val="000000"/>
        </w:rPr>
        <w:t>Furthermore, links should be established and complementarities sought with closely related actions, such as relevant R&amp;I actions funded by Horizon Europe or Horizon 2020.</w:t>
      </w:r>
    </w:p>
    <w:p w14:paraId="352B5DEA" w14:textId="77777777" w:rsidR="00D84031" w:rsidRDefault="007965BB">
      <w:pPr>
        <w:pStyle w:val="HeadingThree"/>
      </w:pPr>
      <w:r>
        <w:t>HORIZON-CL2-2027-01-HERITAGE-08: Safeguarding &amp; transmission of intangible cultural heritage</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0DC1841C" w14:textId="77777777" w:rsidTr="00C62CF4">
        <w:tc>
          <w:tcPr>
            <w:tcW w:w="0" w:type="auto"/>
            <w:gridSpan w:val="2"/>
          </w:tcPr>
          <w:p w14:paraId="5BBEA42F" w14:textId="77777777" w:rsidR="00D84031" w:rsidRDefault="007965BB">
            <w:pPr>
              <w:pStyle w:val="CellTextValue"/>
            </w:pPr>
            <w:r>
              <w:rPr>
                <w:b/>
              </w:rPr>
              <w:t>Call: Culture, Creativity and Inclusive Society - 2027</w:t>
            </w:r>
          </w:p>
        </w:tc>
      </w:tr>
      <w:tr w:rsidR="00C62CF4" w14:paraId="13FD3175" w14:textId="77777777" w:rsidTr="00C62CF4">
        <w:tc>
          <w:tcPr>
            <w:tcW w:w="0" w:type="auto"/>
            <w:gridSpan w:val="2"/>
          </w:tcPr>
          <w:p w14:paraId="53F5CC76" w14:textId="77777777" w:rsidR="00D84031" w:rsidRDefault="007965BB">
            <w:pPr>
              <w:pStyle w:val="CellTextValue"/>
            </w:pPr>
            <w:r>
              <w:rPr>
                <w:b/>
              </w:rPr>
              <w:t>Specific conditions</w:t>
            </w:r>
          </w:p>
        </w:tc>
      </w:tr>
      <w:tr w:rsidR="00D84031" w14:paraId="72525C39" w14:textId="77777777">
        <w:tc>
          <w:tcPr>
            <w:tcW w:w="0" w:type="auto"/>
          </w:tcPr>
          <w:p w14:paraId="735F0827" w14:textId="77777777" w:rsidR="00D84031" w:rsidRDefault="007965BB">
            <w:pPr>
              <w:pStyle w:val="CellTextValue"/>
              <w:jc w:val="left"/>
            </w:pPr>
            <w:r>
              <w:rPr>
                <w:i/>
              </w:rPr>
              <w:t>Expected EU contribution per project</w:t>
            </w:r>
          </w:p>
        </w:tc>
        <w:tc>
          <w:tcPr>
            <w:tcW w:w="0" w:type="auto"/>
          </w:tcPr>
          <w:p w14:paraId="1FC8B848" w14:textId="77777777" w:rsidR="00D84031" w:rsidRDefault="007965BB">
            <w:pPr>
              <w:pStyle w:val="CellTextValue"/>
            </w:pPr>
            <w:r>
              <w:t xml:space="preserve">The Commission estimates that an EU contribution of between EUR 3.00 and 4.00 million would allow these outcomes to be addressed </w:t>
            </w:r>
            <w:r>
              <w:t>appropriately. Nonetheless, this does not preclude submission and selection of a proposal requesting different amounts.</w:t>
            </w:r>
          </w:p>
        </w:tc>
      </w:tr>
      <w:tr w:rsidR="00D84031" w14:paraId="3376C95A" w14:textId="77777777">
        <w:tc>
          <w:tcPr>
            <w:tcW w:w="0" w:type="auto"/>
          </w:tcPr>
          <w:p w14:paraId="5CA8EE24" w14:textId="77777777" w:rsidR="00D84031" w:rsidRDefault="007965BB">
            <w:pPr>
              <w:pStyle w:val="CellTextValue"/>
              <w:jc w:val="left"/>
            </w:pPr>
            <w:r>
              <w:rPr>
                <w:i/>
              </w:rPr>
              <w:t>Indicative budget</w:t>
            </w:r>
          </w:p>
        </w:tc>
        <w:tc>
          <w:tcPr>
            <w:tcW w:w="0" w:type="auto"/>
          </w:tcPr>
          <w:p w14:paraId="57C4C999" w14:textId="77777777" w:rsidR="00D84031" w:rsidRDefault="007965BB">
            <w:pPr>
              <w:pStyle w:val="CellTextValue"/>
            </w:pPr>
            <w:r>
              <w:t>The total indicative budget for the topic is EUR 12.00 million.</w:t>
            </w:r>
          </w:p>
        </w:tc>
      </w:tr>
      <w:tr w:rsidR="00D84031" w14:paraId="2CFEC166" w14:textId="77777777">
        <w:tc>
          <w:tcPr>
            <w:tcW w:w="0" w:type="auto"/>
          </w:tcPr>
          <w:p w14:paraId="6F174235" w14:textId="77777777" w:rsidR="00D84031" w:rsidRDefault="007965BB">
            <w:pPr>
              <w:pStyle w:val="CellTextValue"/>
              <w:jc w:val="left"/>
            </w:pPr>
            <w:r>
              <w:rPr>
                <w:i/>
              </w:rPr>
              <w:t>Type of Action</w:t>
            </w:r>
          </w:p>
        </w:tc>
        <w:tc>
          <w:tcPr>
            <w:tcW w:w="0" w:type="auto"/>
          </w:tcPr>
          <w:p w14:paraId="6A53D427" w14:textId="77777777" w:rsidR="00D84031" w:rsidRDefault="007965BB">
            <w:pPr>
              <w:pStyle w:val="CellTextValue"/>
            </w:pPr>
            <w:r>
              <w:rPr>
                <w:color w:val="000000"/>
              </w:rPr>
              <w:t xml:space="preserve">Research and Innovation </w:t>
            </w:r>
            <w:r>
              <w:rPr>
                <w:color w:val="000000"/>
              </w:rPr>
              <w:t>Actions</w:t>
            </w:r>
          </w:p>
        </w:tc>
      </w:tr>
      <w:tr w:rsidR="00D84031" w14:paraId="46E7A6A3" w14:textId="77777777">
        <w:tc>
          <w:tcPr>
            <w:tcW w:w="0" w:type="auto"/>
          </w:tcPr>
          <w:p w14:paraId="444E28BE" w14:textId="77777777" w:rsidR="00D84031" w:rsidRDefault="007965BB">
            <w:pPr>
              <w:pStyle w:val="CellTextValue"/>
              <w:jc w:val="left"/>
            </w:pPr>
            <w:r>
              <w:rPr>
                <w:i/>
              </w:rPr>
              <w:t>Legal and financial set-up of the Grant Agreements</w:t>
            </w:r>
          </w:p>
        </w:tc>
        <w:tc>
          <w:tcPr>
            <w:tcW w:w="0" w:type="auto"/>
          </w:tcPr>
          <w:p w14:paraId="057DCDD4" w14:textId="77777777" w:rsidR="00D84031" w:rsidRDefault="007965BB">
            <w:pPr>
              <w:pStyle w:val="CellTextValue"/>
            </w:pPr>
            <w:r>
              <w:rPr>
                <w:color w:val="000000"/>
              </w:rPr>
              <w:t>The rules are described in General Annex G. The following exceptions apply:</w:t>
            </w:r>
          </w:p>
          <w:p w14:paraId="464DF876" w14:textId="77777777" w:rsidR="00D84031" w:rsidRDefault="007965BB">
            <w:pPr>
              <w:pStyle w:val="CellTextValue"/>
            </w:pPr>
            <w:r>
              <w:rPr>
                <w:color w:val="000000"/>
              </w:rPr>
              <w:t>Beneficiaries may provide financial support to third parties. The support to third parties can only be provided in the form of grants. The maximum amount to be granted to each third party is EUR 60 000</w:t>
            </w:r>
          </w:p>
          <w:p w14:paraId="3841946B"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w:t>
            </w:r>
            <w:r>
              <w:rPr>
                <w:color w:val="000000"/>
              </w:rPr>
              <w:lastRenderedPageBreak/>
              <w:t xml:space="preserve">Research and Innovation (2021-2027) – and in actions under the Research and Training Programme of the European Atomic Energy Community (2021-2025) </w:t>
            </w:r>
            <w:r>
              <w:rPr>
                <w:vertAlign w:val="superscript"/>
              </w:rPr>
              <w:footnoteReference w:id="143"/>
            </w:r>
            <w:r>
              <w:rPr>
                <w:color w:val="000000"/>
              </w:rPr>
              <w:t>.</w:t>
            </w:r>
          </w:p>
        </w:tc>
      </w:tr>
    </w:tbl>
    <w:p w14:paraId="3FF085EB" w14:textId="77777777" w:rsidR="00D84031" w:rsidRDefault="00D84031">
      <w:pPr>
        <w:spacing w:after="0" w:line="150" w:lineRule="auto"/>
      </w:pPr>
    </w:p>
    <w:p w14:paraId="094E65E3" w14:textId="77777777" w:rsidR="00D84031" w:rsidRDefault="007965BB">
      <w:r>
        <w:rPr>
          <w:u w:val="single"/>
        </w:rPr>
        <w:t>Expected Outcome</w:t>
      </w:r>
      <w:r>
        <w:t xml:space="preserve">: </w:t>
      </w:r>
      <w:r>
        <w:rPr>
          <w:color w:val="000000"/>
        </w:rPr>
        <w:t>Projects should contribute to all of the following expected outcomes:</w:t>
      </w:r>
    </w:p>
    <w:p w14:paraId="1FA75CF4" w14:textId="77777777" w:rsidR="00D84031" w:rsidRDefault="007965BB" w:rsidP="00C62CF4">
      <w:pPr>
        <w:pStyle w:val="ListParagraph"/>
        <w:numPr>
          <w:ilvl w:val="0"/>
          <w:numId w:val="57"/>
        </w:numPr>
      </w:pPr>
      <w:r>
        <w:rPr>
          <w:color w:val="000000"/>
        </w:rPr>
        <w:t>Enhanced understanding of the state of play of the safeguarding of Intangible Cultural Heritage (ICH), in the Context set by the 2003 UNESCO Convention, and an overview of successful methods for documenting and ensuring the transmission of ICH, including digital, audio-visual, and advanced technologies.</w:t>
      </w:r>
    </w:p>
    <w:p w14:paraId="72A5CBE9" w14:textId="77777777" w:rsidR="00D84031" w:rsidRDefault="007965BB" w:rsidP="00C62CF4">
      <w:pPr>
        <w:pStyle w:val="ListParagraph"/>
        <w:numPr>
          <w:ilvl w:val="0"/>
          <w:numId w:val="57"/>
        </w:numPr>
      </w:pPr>
      <w:r>
        <w:rPr>
          <w:color w:val="000000"/>
        </w:rPr>
        <w:t>Recognition of the significance and value of ICH in different social, cultural and economic contexts.</w:t>
      </w:r>
    </w:p>
    <w:p w14:paraId="5D8CB097" w14:textId="77777777" w:rsidR="00D84031" w:rsidRDefault="007965BB" w:rsidP="00C62CF4">
      <w:pPr>
        <w:pStyle w:val="ListParagraph"/>
        <w:numPr>
          <w:ilvl w:val="0"/>
          <w:numId w:val="57"/>
        </w:numPr>
      </w:pPr>
      <w:r>
        <w:rPr>
          <w:color w:val="000000"/>
        </w:rPr>
        <w:t xml:space="preserve">Empowered communities take ownership and responsibility for safeguarding their ICH, with a focus on how inter-generational transmission is ensured, and on youth involvement and informal education. </w:t>
      </w:r>
    </w:p>
    <w:p w14:paraId="795F6FF0" w14:textId="77777777" w:rsidR="00D84031" w:rsidRDefault="007965BB" w:rsidP="00C62CF4">
      <w:pPr>
        <w:pStyle w:val="ListParagraph"/>
        <w:numPr>
          <w:ilvl w:val="0"/>
          <w:numId w:val="57"/>
        </w:numPr>
      </w:pPr>
      <w:r>
        <w:rPr>
          <w:color w:val="000000"/>
        </w:rPr>
        <w:t xml:space="preserve">Innovative policy solutions are available, for the safeguarding of ICH and for mobilising ICH as a resource for fostering innovation, and social and economic creativity.  </w:t>
      </w:r>
    </w:p>
    <w:p w14:paraId="5D563748" w14:textId="77777777" w:rsidR="00D84031" w:rsidRDefault="007965BB">
      <w:r>
        <w:rPr>
          <w:u w:val="single"/>
        </w:rPr>
        <w:t>Scope</w:t>
      </w:r>
      <w:r>
        <w:t xml:space="preserve">: </w:t>
      </w:r>
      <w:r>
        <w:rPr>
          <w:color w:val="000000"/>
        </w:rPr>
        <w:t>Intangible cultural heritage (ICH) refers to ‘the practices, representations, expressions, knowledge, skills—as well as the instruments, objects, artefacts and cultural spaces’ that are ‘transmitted from generation to generation’ and are ‘constantly recreated’ – as defined by the United Nations Educational, Scientific and Cultural Organisation (UNESCO) Convention for the Safeguarding of the Intangible Cultural Heritage (ICH Convention)</w:t>
      </w:r>
      <w:r>
        <w:rPr>
          <w:vertAlign w:val="superscript"/>
        </w:rPr>
        <w:footnoteReference w:id="144"/>
      </w:r>
      <w:r>
        <w:rPr>
          <w:color w:val="000000"/>
        </w:rPr>
        <w:t>. ICH is an essential part of a community's identity and is a vital component of its cultural diversity.</w:t>
      </w:r>
    </w:p>
    <w:p w14:paraId="4F93B0FA" w14:textId="77777777" w:rsidR="00D84031" w:rsidRDefault="007965BB">
      <w:r>
        <w:rPr>
          <w:color w:val="000000"/>
        </w:rPr>
        <w:t xml:space="preserve">The ICH Convention was adopted in 2003, by 148 countries and it recognizes the importance of ICH as a driving force for social cohesion, cultural diversity, and sustainable </w:t>
      </w:r>
      <w:r>
        <w:rPr>
          <w:color w:val="000000"/>
        </w:rPr>
        <w:t>development.</w:t>
      </w:r>
    </w:p>
    <w:p w14:paraId="6FF94F45" w14:textId="77777777" w:rsidR="00D84031" w:rsidRDefault="007965BB">
      <w:r>
        <w:rPr>
          <w:color w:val="000000"/>
        </w:rPr>
        <w:t>However, the nature of ICH, as living heritage, to continually transform and evolve, makes it particularly challenging to keep alive. Therefore, safeguarding ICH encounters very different challenges than the built heritage sector. ICH is rooted in territories and communities and is essential for identity building and maintaining social cohesion. It is a source for creativity and innovation, and a critical factor for new competitive scenarios.</w:t>
      </w:r>
    </w:p>
    <w:p w14:paraId="4A62EBD9" w14:textId="77777777" w:rsidR="00D84031" w:rsidRDefault="007965BB">
      <w:r>
        <w:rPr>
          <w:color w:val="000000"/>
        </w:rPr>
        <w:t xml:space="preserve">Transmission, education and intergenerational dialogue play a key role in this context, and there is an urgent need to research and foster participatory approaches, especially involving oral cultures and transmission. Different case-studies should explore various approaches to the safeguarding of ICH, considering the specific nature of competences, knowledge and </w:t>
      </w:r>
      <w:r>
        <w:rPr>
          <w:color w:val="000000"/>
        </w:rPr>
        <w:lastRenderedPageBreak/>
        <w:t>cultural practices of creators and knowledge holders, with a focus on intergenerational transmission.</w:t>
      </w:r>
    </w:p>
    <w:p w14:paraId="4FFEBF52" w14:textId="77777777" w:rsidR="00D84031" w:rsidRDefault="007965BB">
      <w:r>
        <w:rPr>
          <w:color w:val="000000"/>
        </w:rPr>
        <w:t>Proposals should contribute to defining the specificities of intangible cultural heritage. Additionally, they could examine and quantify the contribution of ICH to creativity, innovation, and economic benefits. Proposals should also contribute to the rethinking of cultural policies for the safeguarding of ICH.</w:t>
      </w:r>
    </w:p>
    <w:p w14:paraId="7AFE7E4F" w14:textId="77777777" w:rsidR="00D84031" w:rsidRDefault="007965BB">
      <w:r>
        <w:rPr>
          <w:color w:val="000000"/>
        </w:rPr>
        <w:t xml:space="preserve">Proposed research projects could address in depth the following research questions:  </w:t>
      </w:r>
    </w:p>
    <w:p w14:paraId="10408E85" w14:textId="77777777" w:rsidR="00D84031" w:rsidRDefault="007965BB" w:rsidP="00C62CF4">
      <w:pPr>
        <w:pStyle w:val="ListParagraph"/>
        <w:numPr>
          <w:ilvl w:val="0"/>
          <w:numId w:val="58"/>
        </w:numPr>
      </w:pPr>
      <w:r>
        <w:rPr>
          <w:color w:val="000000"/>
        </w:rPr>
        <w:t>What is the state of play of the safeguarding of ICH in Europe, following the UNESCO 2003 Convention?</w:t>
      </w:r>
    </w:p>
    <w:p w14:paraId="17A83480" w14:textId="77777777" w:rsidR="00D84031" w:rsidRDefault="007965BB" w:rsidP="00C62CF4">
      <w:pPr>
        <w:pStyle w:val="ListParagraph"/>
        <w:numPr>
          <w:ilvl w:val="0"/>
          <w:numId w:val="58"/>
        </w:numPr>
      </w:pPr>
      <w:r>
        <w:rPr>
          <w:color w:val="000000"/>
        </w:rPr>
        <w:t>What are the main threats and challenges to the erosion and loss of ICH in Europe?</w:t>
      </w:r>
    </w:p>
    <w:p w14:paraId="2AF2BE1C" w14:textId="77777777" w:rsidR="00D84031" w:rsidRDefault="007965BB" w:rsidP="00C62CF4">
      <w:pPr>
        <w:pStyle w:val="ListParagraph"/>
        <w:numPr>
          <w:ilvl w:val="0"/>
          <w:numId w:val="58"/>
        </w:numPr>
      </w:pPr>
      <w:r>
        <w:rPr>
          <w:color w:val="000000"/>
        </w:rPr>
        <w:t>What are the most effective strategies for securing ICH safeguarding initiatives?</w:t>
      </w:r>
    </w:p>
    <w:p w14:paraId="3D740712" w14:textId="77777777" w:rsidR="00D84031" w:rsidRDefault="007965BB" w:rsidP="00C62CF4">
      <w:pPr>
        <w:pStyle w:val="ListParagraph"/>
        <w:numPr>
          <w:ilvl w:val="0"/>
          <w:numId w:val="58"/>
        </w:numPr>
      </w:pPr>
      <w:r>
        <w:rPr>
          <w:color w:val="000000"/>
        </w:rPr>
        <w:t>How can advanced digital technologies be leveraged for the safeguarding &amp; transmission of ICH?</w:t>
      </w:r>
    </w:p>
    <w:p w14:paraId="274021A5" w14:textId="77777777" w:rsidR="00D84031" w:rsidRDefault="007965BB" w:rsidP="00C62CF4">
      <w:pPr>
        <w:pStyle w:val="ListParagraph"/>
        <w:numPr>
          <w:ilvl w:val="0"/>
          <w:numId w:val="58"/>
        </w:numPr>
      </w:pPr>
      <w:r>
        <w:rPr>
          <w:color w:val="000000"/>
        </w:rPr>
        <w:t>How can ICH provide inspiration for innovative approaches to existing societal challenges (e.g. competitiveness, intergenerational dialogue democratic values)</w:t>
      </w:r>
    </w:p>
    <w:p w14:paraId="62578431" w14:textId="77777777" w:rsidR="00D84031" w:rsidRDefault="007965BB" w:rsidP="00C62CF4">
      <w:pPr>
        <w:pStyle w:val="ListParagraph"/>
        <w:numPr>
          <w:ilvl w:val="0"/>
          <w:numId w:val="58"/>
        </w:numPr>
      </w:pPr>
      <w:r>
        <w:rPr>
          <w:color w:val="000000"/>
        </w:rPr>
        <w:t xml:space="preserve">What role can community-led initiatives play in safeguarding ICH, and how can communities be supported and empowered to safeguard it? </w:t>
      </w:r>
    </w:p>
    <w:p w14:paraId="5277300E" w14:textId="77777777" w:rsidR="00D84031" w:rsidRDefault="007965BB">
      <w:r>
        <w:rPr>
          <w:color w:val="000000"/>
        </w:rPr>
        <w:t>The role of advanced digital technologies to support ICH safeguarding and transmission should be considered, as appropriately.</w:t>
      </w:r>
    </w:p>
    <w:p w14:paraId="417B6446" w14:textId="77777777" w:rsidR="00D84031" w:rsidRDefault="007965BB">
      <w:r>
        <w:rPr>
          <w:color w:val="000000"/>
        </w:rPr>
        <w:t>The proposals should comprise transdisciplinary scientific collaborations involving, for instance and not exhaustive, heritage and museum studies, cultural anthropology, ethnology, media studies, theatre studies, literary studies, musicology etc. Available results of existing research on intangible cultural heritage should be taken into consideration, while identification of needs for further research in the field should be promoted.</w:t>
      </w:r>
    </w:p>
    <w:p w14:paraId="35C2AD71" w14:textId="77777777" w:rsidR="00D84031" w:rsidRDefault="007965BB">
      <w:r>
        <w:rPr>
          <w:color w:val="000000"/>
        </w:rPr>
        <w:t>Proposals should build on existing knowledge, activities, networks and platforms, notably the ones funded by the EU, for example paying attention to the future digital tools and platforms provided by the European Collaborative Cloud for Cultural Heritage (ECCCH), and the Common European Data Space for Cultural Heritage.</w:t>
      </w:r>
    </w:p>
    <w:p w14:paraId="0884A3FE" w14:textId="77777777" w:rsidR="00D84031" w:rsidRDefault="007965BB">
      <w:r>
        <w:rPr>
          <w:color w:val="000000"/>
        </w:rPr>
        <w:t>Furthermore, links should be established and complementarities sought with closely related actions, such as relevant R&amp;I actions funded by Horizon Europe or Horizon 2020. In particular, proposals should establish links to, and where appropriate build on findings from, projects funded under the topics HORIZON-CL2-2025-HERITAGE-02: Innovative approaches to intangible cultural heritage for societal resilience.</w:t>
      </w:r>
    </w:p>
    <w:p w14:paraId="6393F5E1" w14:textId="77777777" w:rsidR="00D84031" w:rsidRDefault="007965BB">
      <w:pPr>
        <w:pStyle w:val="HeadingThree"/>
      </w:pPr>
      <w:r>
        <w:lastRenderedPageBreak/>
        <w:t>HORIZON-CL2-2027-02-HERITAGE-09-two-stage: Open topic on impact-driven research on realising the full potential of cultural heritage, arts and cultural and creative industries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39D6C42C" w14:textId="77777777" w:rsidTr="00C62CF4">
        <w:tc>
          <w:tcPr>
            <w:tcW w:w="0" w:type="auto"/>
            <w:gridSpan w:val="2"/>
          </w:tcPr>
          <w:p w14:paraId="3E4C91D4" w14:textId="77777777" w:rsidR="00D84031" w:rsidRDefault="007965BB">
            <w:pPr>
              <w:pStyle w:val="CellTextValue"/>
            </w:pPr>
            <w:r>
              <w:rPr>
                <w:b/>
              </w:rPr>
              <w:t>Call: Culture, Creativity and Inclusive Society - 2027 - Two-stage</w:t>
            </w:r>
          </w:p>
        </w:tc>
      </w:tr>
      <w:tr w:rsidR="00C62CF4" w14:paraId="267DBB08" w14:textId="77777777" w:rsidTr="00C62CF4">
        <w:tc>
          <w:tcPr>
            <w:tcW w:w="0" w:type="auto"/>
            <w:gridSpan w:val="2"/>
          </w:tcPr>
          <w:p w14:paraId="7F309676" w14:textId="77777777" w:rsidR="00D84031" w:rsidRDefault="007965BB">
            <w:pPr>
              <w:pStyle w:val="CellTextValue"/>
            </w:pPr>
            <w:r>
              <w:rPr>
                <w:b/>
              </w:rPr>
              <w:t>Specific conditions</w:t>
            </w:r>
          </w:p>
        </w:tc>
      </w:tr>
      <w:tr w:rsidR="00D84031" w14:paraId="28FF29BB" w14:textId="77777777">
        <w:tc>
          <w:tcPr>
            <w:tcW w:w="0" w:type="auto"/>
          </w:tcPr>
          <w:p w14:paraId="407CF706" w14:textId="77777777" w:rsidR="00D84031" w:rsidRDefault="007965BB">
            <w:pPr>
              <w:pStyle w:val="CellTextValue"/>
              <w:jc w:val="left"/>
            </w:pPr>
            <w:r>
              <w:rPr>
                <w:i/>
              </w:rPr>
              <w:t xml:space="preserve">Expected EU contribution per </w:t>
            </w:r>
            <w:r>
              <w:rPr>
                <w:i/>
              </w:rPr>
              <w:t>project</w:t>
            </w:r>
          </w:p>
        </w:tc>
        <w:tc>
          <w:tcPr>
            <w:tcW w:w="0" w:type="auto"/>
          </w:tcPr>
          <w:p w14:paraId="151D8836" w14:textId="77777777" w:rsidR="00D84031" w:rsidRDefault="007965BB">
            <w:pPr>
              <w:pStyle w:val="CellTextValue"/>
            </w:pPr>
            <w:r>
              <w:t>The Commission estimates that an EU contribution of between EUR 2.00 and 4.00 million would allow these outcomes to be addressed appropriately. Nonetheless, this does not preclude submission and selection of a proposal requesting different amounts.</w:t>
            </w:r>
          </w:p>
        </w:tc>
      </w:tr>
      <w:tr w:rsidR="00D84031" w14:paraId="2398D1BA" w14:textId="77777777">
        <w:tc>
          <w:tcPr>
            <w:tcW w:w="0" w:type="auto"/>
          </w:tcPr>
          <w:p w14:paraId="5FF0A18E" w14:textId="77777777" w:rsidR="00D84031" w:rsidRDefault="007965BB">
            <w:pPr>
              <w:pStyle w:val="CellTextValue"/>
              <w:jc w:val="left"/>
            </w:pPr>
            <w:r>
              <w:rPr>
                <w:i/>
              </w:rPr>
              <w:t>Indicative budget</w:t>
            </w:r>
          </w:p>
        </w:tc>
        <w:tc>
          <w:tcPr>
            <w:tcW w:w="0" w:type="auto"/>
          </w:tcPr>
          <w:p w14:paraId="2D72AE63" w14:textId="77777777" w:rsidR="00D84031" w:rsidRDefault="007965BB">
            <w:pPr>
              <w:pStyle w:val="CellTextValue"/>
            </w:pPr>
            <w:r>
              <w:t>The total indicative budget for the topic is EUR 20.00 million.</w:t>
            </w:r>
          </w:p>
        </w:tc>
      </w:tr>
      <w:tr w:rsidR="00D84031" w14:paraId="1898B249" w14:textId="77777777">
        <w:tc>
          <w:tcPr>
            <w:tcW w:w="0" w:type="auto"/>
          </w:tcPr>
          <w:p w14:paraId="38B2842B" w14:textId="77777777" w:rsidR="00D84031" w:rsidRDefault="007965BB">
            <w:pPr>
              <w:pStyle w:val="CellTextValue"/>
              <w:jc w:val="left"/>
            </w:pPr>
            <w:r>
              <w:rPr>
                <w:i/>
              </w:rPr>
              <w:t>Type of Action</w:t>
            </w:r>
          </w:p>
        </w:tc>
        <w:tc>
          <w:tcPr>
            <w:tcW w:w="0" w:type="auto"/>
          </w:tcPr>
          <w:p w14:paraId="338536EB" w14:textId="77777777" w:rsidR="00D84031" w:rsidRDefault="007965BB">
            <w:pPr>
              <w:pStyle w:val="CellTextValue"/>
            </w:pPr>
            <w:r>
              <w:rPr>
                <w:color w:val="000000"/>
              </w:rPr>
              <w:t>Research and Innovation Actions</w:t>
            </w:r>
          </w:p>
        </w:tc>
      </w:tr>
      <w:tr w:rsidR="00D84031" w14:paraId="44FC91EA" w14:textId="77777777">
        <w:tc>
          <w:tcPr>
            <w:tcW w:w="0" w:type="auto"/>
          </w:tcPr>
          <w:p w14:paraId="34FC56FD" w14:textId="77777777" w:rsidR="00D84031" w:rsidRDefault="007965BB">
            <w:pPr>
              <w:pStyle w:val="CellTextValue"/>
              <w:jc w:val="left"/>
            </w:pPr>
            <w:r>
              <w:rPr>
                <w:i/>
              </w:rPr>
              <w:t>Legal and financial set-up of the Grant Agreements</w:t>
            </w:r>
          </w:p>
        </w:tc>
        <w:tc>
          <w:tcPr>
            <w:tcW w:w="0" w:type="auto"/>
          </w:tcPr>
          <w:p w14:paraId="4FA1F1CA" w14:textId="77777777" w:rsidR="00D84031" w:rsidRDefault="007965BB">
            <w:pPr>
              <w:pStyle w:val="CellTextValue"/>
            </w:pPr>
            <w:r>
              <w:rPr>
                <w:color w:val="000000"/>
              </w:rPr>
              <w:t xml:space="preserve">The rules are described in General Annex G. The following </w:t>
            </w:r>
            <w:r>
              <w:rPr>
                <w:color w:val="000000"/>
              </w:rPr>
              <w:t>exceptions apply:</w:t>
            </w:r>
          </w:p>
          <w:p w14:paraId="12C5AFF9"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45"/>
            </w:r>
            <w:r>
              <w:rPr>
                <w:color w:val="000000"/>
              </w:rPr>
              <w:t>.</w:t>
            </w:r>
          </w:p>
        </w:tc>
      </w:tr>
    </w:tbl>
    <w:p w14:paraId="2876892A" w14:textId="77777777" w:rsidR="00D84031" w:rsidRDefault="00D84031">
      <w:pPr>
        <w:spacing w:after="0" w:line="150" w:lineRule="auto"/>
      </w:pPr>
    </w:p>
    <w:p w14:paraId="6678CADA" w14:textId="77777777" w:rsidR="00D84031" w:rsidRDefault="007965BB">
      <w:r>
        <w:rPr>
          <w:u w:val="single"/>
        </w:rPr>
        <w:t>Expected Outcome</w:t>
      </w:r>
      <w:r>
        <w:t xml:space="preserve">: </w:t>
      </w:r>
      <w:r>
        <w:rPr>
          <w:color w:val="000000"/>
        </w:rPr>
        <w:t>Projects should contribute to the following expected outcome:</w:t>
      </w:r>
    </w:p>
    <w:p w14:paraId="430AE8AF" w14:textId="77777777" w:rsidR="00D84031" w:rsidRDefault="007965BB" w:rsidP="00C62CF4">
      <w:pPr>
        <w:pStyle w:val="ListParagraph"/>
        <w:numPr>
          <w:ilvl w:val="0"/>
          <w:numId w:val="59"/>
        </w:numPr>
      </w:pPr>
      <w:r>
        <w:rPr>
          <w:color w:val="000000"/>
        </w:rPr>
        <w:t xml:space="preserve">New groundbreaking findings and methods are </w:t>
      </w:r>
      <w:r>
        <w:rPr>
          <w:color w:val="000000"/>
        </w:rPr>
        <w:t>developed, verified and put into practice that significantly contribute to realising the full potential of cultural heritage, arts or/and cultural and creative industries (CCIs)</w:t>
      </w:r>
      <w:r>
        <w:rPr>
          <w:vertAlign w:val="superscript"/>
        </w:rPr>
        <w:footnoteReference w:id="146"/>
      </w:r>
      <w:r>
        <w:rPr>
          <w:color w:val="000000"/>
        </w:rPr>
        <w:t xml:space="preserve"> as drivers of sustainable innovation and/or a European sense of belonging.  </w:t>
      </w:r>
    </w:p>
    <w:p w14:paraId="148D5319" w14:textId="77777777" w:rsidR="00D84031" w:rsidRDefault="007965BB">
      <w:r>
        <w:rPr>
          <w:u w:val="single"/>
        </w:rPr>
        <w:t>Scope</w:t>
      </w:r>
      <w:r>
        <w:t xml:space="preserve">: </w:t>
      </w:r>
      <w:r>
        <w:rPr>
          <w:color w:val="000000"/>
        </w:rPr>
        <w:t>Applicants are invited to design the best possible and groundbreaking research and innovation to achieve that the full potential of cultural heritage, arts and/or cultural and creative industries as drivers of sustainable innovation and/or a European sense of belonging is realised.</w:t>
      </w:r>
    </w:p>
    <w:p w14:paraId="0CB9B18A" w14:textId="77777777" w:rsidR="00D84031" w:rsidRDefault="007965BB">
      <w:r>
        <w:rPr>
          <w:color w:val="000000"/>
        </w:rPr>
        <w:t xml:space="preserve">Applicants are free to choose the focus that best addresses the expected outcome; it can be limited to certain areas or issues or be broader. However, research under this topic should </w:t>
      </w:r>
      <w:r>
        <w:rPr>
          <w:color w:val="000000"/>
        </w:rPr>
        <w:lastRenderedPageBreak/>
        <w:t>have an impact-driven focus and move beyond descriptive studies towards transformative, actionable knowledge.</w:t>
      </w:r>
    </w:p>
    <w:p w14:paraId="4ADCAB3D" w14:textId="77777777" w:rsidR="00D84031" w:rsidRDefault="007965BB">
      <w:r>
        <w:rPr>
          <w:color w:val="000000"/>
        </w:rPr>
        <w:t>As appropriate for the focus chosen, proposals should build on previous research, networks or platforms. Projects must not, however, duplicate activities already funded but should explore new areas.</w:t>
      </w:r>
    </w:p>
    <w:p w14:paraId="0EA20E2B" w14:textId="77777777" w:rsidR="00D84031" w:rsidRPr="00C62CF4" w:rsidRDefault="007965BB">
      <w:pPr>
        <w:pStyle w:val="HeadingTwo"/>
        <w:pageBreakBefore/>
        <w:rPr>
          <w:lang w:val="en-IE"/>
        </w:rPr>
      </w:pPr>
      <w:r w:rsidRPr="00C62CF4">
        <w:rPr>
          <w:lang w:val="en-IE"/>
        </w:rPr>
        <w:lastRenderedPageBreak/>
        <w:t>Destination Innovative Research on Social and Economic Transformations</w:t>
      </w:r>
    </w:p>
    <w:p w14:paraId="7A063446" w14:textId="77777777" w:rsidR="00D84031" w:rsidRDefault="007965BB">
      <w:r>
        <w:rPr>
          <w:color w:val="000000"/>
        </w:rPr>
        <w:t>Projects funded under this destination should contribute to the following expected impacts in the Horizon Europe Strategic Plan 2025-2027</w:t>
      </w:r>
      <w:r>
        <w:rPr>
          <w:vertAlign w:val="superscript"/>
        </w:rPr>
        <w:footnoteReference w:id="147"/>
      </w:r>
      <w:r>
        <w:rPr>
          <w:color w:val="000000"/>
        </w:rPr>
        <w:t>:</w:t>
      </w:r>
    </w:p>
    <w:p w14:paraId="5B106B85" w14:textId="77777777" w:rsidR="00D84031" w:rsidRDefault="007965BB" w:rsidP="00C62CF4">
      <w:pPr>
        <w:pStyle w:val="ListParagraph"/>
        <w:numPr>
          <w:ilvl w:val="0"/>
          <w:numId w:val="60"/>
        </w:numPr>
      </w:pPr>
      <w:r>
        <w:rPr>
          <w:color w:val="000000"/>
        </w:rPr>
        <w:t xml:space="preserve">Strengthening social and </w:t>
      </w:r>
      <w:r>
        <w:rPr>
          <w:color w:val="000000"/>
        </w:rPr>
        <w:t>economic resilience and sustainability</w:t>
      </w:r>
    </w:p>
    <w:p w14:paraId="1FF9C488" w14:textId="77777777" w:rsidR="00D84031" w:rsidRDefault="007965BB" w:rsidP="00C62CF4">
      <w:pPr>
        <w:pStyle w:val="ListParagraph"/>
        <w:numPr>
          <w:ilvl w:val="0"/>
          <w:numId w:val="60"/>
        </w:numPr>
      </w:pPr>
      <w:r>
        <w:rPr>
          <w:color w:val="000000"/>
        </w:rPr>
        <w:t xml:space="preserve">Boosting inclusive growth and reducing vulnerabilities effectively  </w:t>
      </w:r>
    </w:p>
    <w:p w14:paraId="4BF54882" w14:textId="77777777" w:rsidR="00D84031" w:rsidRDefault="007965BB">
      <w:r>
        <w:rPr>
          <w:color w:val="000000"/>
        </w:rPr>
        <w:t>The expected impacts reflect the two-pronged nature of the destination. On the one hand, research funded by this destination will improve the understanding of how the macro drivers of change (technological change, climate change, new global trade patterns, along with migration, human mobility, and other demographic changes) impact society and inform policy makers on how to mitigate negative consequences and harness newly created opportunities. The results obtained should improve the understanding of the int</w:t>
      </w:r>
      <w:r>
        <w:rPr>
          <w:color w:val="000000"/>
        </w:rPr>
        <w:t>erplay between different drivers of change and their social, ethical, political, and economic implications. The improved understanding of these challenges and their economic, social, and distributional impacts will fill in the research gaps while also inform the design and assessment of policies addressing existing and emerging challenges, including in the areas of education, well-being and mental health.</w:t>
      </w:r>
    </w:p>
    <w:p w14:paraId="1BEB786C" w14:textId="77777777" w:rsidR="00D84031" w:rsidRDefault="007965BB">
      <w:r>
        <w:rPr>
          <w:color w:val="000000"/>
        </w:rPr>
        <w:t>On the other hand, research and innovation investment should be geared towards deepening the understanding of how ongoing changes impact society, with a specific emphasis on the key objectives of boosting inclusive and sustainable growth and effectively reducing vulnerabilities, poverty and inequalities. This knowledge should provide valuable insights to policymakers to design and assess policies that effectively address vulnerabilities while capitalizing on emerging opportunities.</w:t>
      </w:r>
    </w:p>
    <w:p w14:paraId="33778EDE" w14:textId="77777777" w:rsidR="00D84031" w:rsidRDefault="007965BB">
      <w:r>
        <w:rPr>
          <w:color w:val="000000"/>
        </w:rPr>
        <w:t>Overall, the destination’s activities will help promote the EU’s inclusive growth, resilience, and fair transition towards climate neutrality, by providing solid analytical evidence to implementing actions related to:</w:t>
      </w:r>
    </w:p>
    <w:p w14:paraId="0CB0A701" w14:textId="77777777" w:rsidR="00D84031" w:rsidRDefault="007965BB" w:rsidP="00C62CF4">
      <w:pPr>
        <w:pStyle w:val="ListParagraph"/>
        <w:numPr>
          <w:ilvl w:val="0"/>
          <w:numId w:val="61"/>
        </w:numPr>
      </w:pPr>
      <w:r>
        <w:rPr>
          <w:color w:val="000000"/>
        </w:rPr>
        <w:t>The European Pillar of Social Rights, and its Action Plan with its three ambitious targets (78% employment rate, 60% of population with yearly training, and reduction of the number of people at risk of poverty and social exclusion by at least 15 million by 2030)</w:t>
      </w:r>
    </w:p>
    <w:p w14:paraId="7003885C" w14:textId="77777777" w:rsidR="00D84031" w:rsidRDefault="007965BB" w:rsidP="00C62CF4">
      <w:pPr>
        <w:pStyle w:val="ListParagraph"/>
        <w:numPr>
          <w:ilvl w:val="0"/>
          <w:numId w:val="61"/>
        </w:numPr>
      </w:pPr>
      <w:r>
        <w:rPr>
          <w:color w:val="000000"/>
        </w:rPr>
        <w:t>the European Education Area and its EU-level 2030 targets</w:t>
      </w:r>
    </w:p>
    <w:p w14:paraId="529317B3" w14:textId="77777777" w:rsidR="00D84031" w:rsidRDefault="007965BB" w:rsidP="00C62CF4">
      <w:pPr>
        <w:pStyle w:val="ListParagraph"/>
        <w:numPr>
          <w:ilvl w:val="0"/>
          <w:numId w:val="61"/>
        </w:numPr>
      </w:pPr>
      <w:r>
        <w:rPr>
          <w:color w:val="000000"/>
        </w:rPr>
        <w:t>The Union of Skills (including forthcoming initiatives on skills portability and the European Strategy for Vocational Education and Training, the Pact for Skills and the Skills Agenda)</w:t>
      </w:r>
    </w:p>
    <w:p w14:paraId="7001059E" w14:textId="77777777" w:rsidR="00D84031" w:rsidRDefault="007965BB" w:rsidP="00C62CF4">
      <w:pPr>
        <w:pStyle w:val="ListParagraph"/>
        <w:numPr>
          <w:ilvl w:val="0"/>
          <w:numId w:val="61"/>
        </w:numPr>
      </w:pPr>
      <w:r>
        <w:rPr>
          <w:color w:val="000000"/>
        </w:rPr>
        <w:t>the first-ever EU Anti-Poverty Strategy and the European Affordable Housing Plan</w:t>
      </w:r>
    </w:p>
    <w:p w14:paraId="72416533" w14:textId="77777777" w:rsidR="00D84031" w:rsidRDefault="007965BB" w:rsidP="00C62CF4">
      <w:pPr>
        <w:pStyle w:val="ListParagraph"/>
        <w:numPr>
          <w:ilvl w:val="0"/>
          <w:numId w:val="61"/>
        </w:numPr>
      </w:pPr>
      <w:r>
        <w:rPr>
          <w:color w:val="000000"/>
        </w:rPr>
        <w:t xml:space="preserve">The Union of Equality policies and strategies, including:       </w:t>
      </w:r>
    </w:p>
    <w:p w14:paraId="51D43775" w14:textId="77777777" w:rsidR="00D84031" w:rsidRDefault="007965BB" w:rsidP="00C62CF4">
      <w:pPr>
        <w:pStyle w:val="ListParagraph"/>
        <w:numPr>
          <w:ilvl w:val="1"/>
          <w:numId w:val="61"/>
        </w:numPr>
      </w:pPr>
      <w:r>
        <w:rPr>
          <w:color w:val="000000"/>
        </w:rPr>
        <w:lastRenderedPageBreak/>
        <w:t>the Strategy for the Rights of Persons with Disabilities 2021-2030</w:t>
      </w:r>
      <w:r>
        <w:rPr>
          <w:vertAlign w:val="superscript"/>
        </w:rPr>
        <w:footnoteReference w:id="148"/>
      </w:r>
      <w:r>
        <w:rPr>
          <w:color w:val="000000"/>
        </w:rPr>
        <w:t xml:space="preserve"> (, in line with the United Nations Convention on the Rights of Persons with Disabilities</w:t>
      </w:r>
      <w:r>
        <w:rPr>
          <w:vertAlign w:val="superscript"/>
        </w:rPr>
        <w:footnoteReference w:id="149"/>
      </w:r>
      <w:r>
        <w:rPr>
          <w:color w:val="000000"/>
        </w:rPr>
        <w:t xml:space="preserve">); the European Accessibility Act (Directive 2019/882), and the European Disability Card    </w:t>
      </w:r>
    </w:p>
    <w:p w14:paraId="55606CED" w14:textId="77777777" w:rsidR="00D84031" w:rsidRDefault="007965BB" w:rsidP="00C62CF4">
      <w:pPr>
        <w:pStyle w:val="ListParagraph"/>
        <w:numPr>
          <w:ilvl w:val="1"/>
          <w:numId w:val="61"/>
        </w:numPr>
      </w:pPr>
      <w:r>
        <w:rPr>
          <w:color w:val="000000"/>
        </w:rPr>
        <w:t xml:space="preserve">The Gender Equality Strategy 2020 – 2025 and the Directive combating violence against women and domestic violence    </w:t>
      </w:r>
    </w:p>
    <w:p w14:paraId="6F3FAFBD" w14:textId="77777777" w:rsidR="00D84031" w:rsidRPr="00C62CF4" w:rsidRDefault="007965BB" w:rsidP="00C62CF4">
      <w:pPr>
        <w:pStyle w:val="ListParagraph"/>
        <w:numPr>
          <w:ilvl w:val="1"/>
          <w:numId w:val="61"/>
        </w:numPr>
        <w:rPr>
          <w:lang w:val="fr-BE"/>
        </w:rPr>
      </w:pPr>
      <w:r w:rsidRPr="00C62CF4">
        <w:rPr>
          <w:color w:val="000000"/>
          <w:lang w:val="fr-BE"/>
        </w:rPr>
        <w:t>EU Anti-</w:t>
      </w:r>
      <w:proofErr w:type="spellStart"/>
      <w:r w:rsidRPr="00C62CF4">
        <w:rPr>
          <w:color w:val="000000"/>
          <w:lang w:val="fr-BE"/>
        </w:rPr>
        <w:t>racism</w:t>
      </w:r>
      <w:proofErr w:type="spellEnd"/>
      <w:r w:rsidRPr="00C62CF4">
        <w:rPr>
          <w:color w:val="000000"/>
          <w:lang w:val="fr-BE"/>
        </w:rPr>
        <w:t xml:space="preserve"> Action Plan 2020-2025    </w:t>
      </w:r>
    </w:p>
    <w:p w14:paraId="7945D839" w14:textId="77777777" w:rsidR="00D84031" w:rsidRDefault="007965BB" w:rsidP="00C62CF4">
      <w:pPr>
        <w:pStyle w:val="ListParagraph"/>
        <w:numPr>
          <w:ilvl w:val="1"/>
          <w:numId w:val="61"/>
        </w:numPr>
      </w:pPr>
      <w:r>
        <w:rPr>
          <w:color w:val="000000"/>
        </w:rPr>
        <w:t xml:space="preserve">The Strategic EU Framework for Roma Equality, Inclusion and Participation 2020-2030   </w:t>
      </w:r>
    </w:p>
    <w:p w14:paraId="0784F893" w14:textId="77777777" w:rsidR="00D84031" w:rsidRDefault="007965BB" w:rsidP="00C62CF4">
      <w:pPr>
        <w:pStyle w:val="ListParagraph"/>
        <w:numPr>
          <w:ilvl w:val="0"/>
          <w:numId w:val="61"/>
        </w:numPr>
      </w:pPr>
      <w:r>
        <w:rPr>
          <w:color w:val="000000"/>
        </w:rPr>
        <w:t xml:space="preserve">       </w:t>
      </w:r>
    </w:p>
    <w:p w14:paraId="1340C83E" w14:textId="77777777" w:rsidR="00D84031" w:rsidRDefault="007965BB" w:rsidP="00C62CF4">
      <w:pPr>
        <w:pStyle w:val="ListParagraph"/>
        <w:numPr>
          <w:ilvl w:val="1"/>
          <w:numId w:val="61"/>
        </w:numPr>
      </w:pPr>
      <w:r>
        <w:rPr>
          <w:color w:val="000000"/>
        </w:rPr>
        <w:t xml:space="preserve">The LGBTIQ Equality Strategy 2020-2025   </w:t>
      </w:r>
    </w:p>
    <w:p w14:paraId="374EA5C6" w14:textId="77777777" w:rsidR="00D84031" w:rsidRDefault="007965BB" w:rsidP="00C62CF4">
      <w:pPr>
        <w:pStyle w:val="ListParagraph"/>
        <w:numPr>
          <w:ilvl w:val="0"/>
          <w:numId w:val="61"/>
        </w:numPr>
      </w:pPr>
      <w:r>
        <w:rPr>
          <w:color w:val="000000"/>
        </w:rPr>
        <w:t>The Communication on Demographic change in Europe: a toolbox for action</w:t>
      </w:r>
    </w:p>
    <w:p w14:paraId="5F3A800F" w14:textId="77777777" w:rsidR="00D84031" w:rsidRDefault="007965BB" w:rsidP="00C62CF4">
      <w:pPr>
        <w:pStyle w:val="ListParagraph"/>
        <w:numPr>
          <w:ilvl w:val="0"/>
          <w:numId w:val="61"/>
        </w:numPr>
      </w:pPr>
      <w:r>
        <w:rPr>
          <w:color w:val="000000"/>
        </w:rPr>
        <w:t>The EU’s just transition policy framework, in line with the 2040 Climate Target Plan, including the Just Transition Mechanism, the Social Climate Fund, and the Council Recommendation on ensuring a fair transition towards climate neutrality</w:t>
      </w:r>
    </w:p>
    <w:p w14:paraId="624FA533" w14:textId="77777777" w:rsidR="00D84031" w:rsidRDefault="007965BB" w:rsidP="00C62CF4">
      <w:pPr>
        <w:pStyle w:val="ListParagraph"/>
        <w:numPr>
          <w:ilvl w:val="0"/>
          <w:numId w:val="61"/>
        </w:numPr>
      </w:pPr>
      <w:r>
        <w:rPr>
          <w:color w:val="000000"/>
        </w:rPr>
        <w:t>The new Pact for European Social Dialogue and the Council Recommendation on strengthening social dialogue in the EU.</w:t>
      </w:r>
    </w:p>
    <w:p w14:paraId="248188FE" w14:textId="77777777" w:rsidR="00D84031" w:rsidRDefault="007965BB" w:rsidP="00C62CF4">
      <w:pPr>
        <w:pStyle w:val="ListParagraph"/>
        <w:numPr>
          <w:ilvl w:val="0"/>
          <w:numId w:val="61"/>
        </w:numPr>
      </w:pPr>
      <w:r>
        <w:rPr>
          <w:color w:val="000000"/>
        </w:rPr>
        <w:t>The European Child Guarantee</w:t>
      </w:r>
    </w:p>
    <w:p w14:paraId="18714E98" w14:textId="77777777" w:rsidR="00D84031" w:rsidRDefault="007965BB" w:rsidP="00C62CF4">
      <w:pPr>
        <w:pStyle w:val="ListParagraph"/>
        <w:numPr>
          <w:ilvl w:val="0"/>
          <w:numId w:val="61"/>
        </w:numPr>
      </w:pPr>
      <w:r>
        <w:rPr>
          <w:color w:val="000000"/>
        </w:rPr>
        <w:t>The Council Recommendation on adequate minimum income</w:t>
      </w:r>
    </w:p>
    <w:p w14:paraId="4DE0DA49" w14:textId="77777777" w:rsidR="00D84031" w:rsidRDefault="007965BB" w:rsidP="00C62CF4">
      <w:pPr>
        <w:pStyle w:val="ListParagraph"/>
        <w:numPr>
          <w:ilvl w:val="0"/>
          <w:numId w:val="61"/>
        </w:numPr>
      </w:pPr>
      <w:r>
        <w:rPr>
          <w:color w:val="000000"/>
        </w:rPr>
        <w:t>The Commission Communication on a comprehensive approach to mental health</w:t>
      </w:r>
    </w:p>
    <w:p w14:paraId="4622FDC8" w14:textId="77777777" w:rsidR="00D84031" w:rsidRDefault="007965BB" w:rsidP="00C62CF4">
      <w:pPr>
        <w:pStyle w:val="ListParagraph"/>
        <w:numPr>
          <w:ilvl w:val="0"/>
          <w:numId w:val="61"/>
        </w:numPr>
      </w:pPr>
      <w:r>
        <w:rPr>
          <w:color w:val="000000"/>
        </w:rPr>
        <w:t xml:space="preserve">The new Pact on Asylum and Migration and its accompanying actions, initiatives and legislation.  </w:t>
      </w:r>
    </w:p>
    <w:p w14:paraId="476EC4A3" w14:textId="77777777" w:rsidR="00D84031" w:rsidRDefault="007965BB">
      <w:r>
        <w:rPr>
          <w:color w:val="000000"/>
        </w:rPr>
        <w:t>Applicants are encouraged to consider, where relevant, the services offered by the current and future EU-funded European Research Infrastructures, particularly those in the social sciences and humanities (SSH) domain</w:t>
      </w:r>
      <w:r>
        <w:rPr>
          <w:vertAlign w:val="superscript"/>
        </w:rPr>
        <w:footnoteReference w:id="150"/>
      </w:r>
      <w:r>
        <w:rPr>
          <w:color w:val="000000"/>
        </w:rPr>
        <w:t>.</w:t>
      </w:r>
    </w:p>
    <w:p w14:paraId="7F7A7907" w14:textId="77777777" w:rsidR="00D84031" w:rsidRDefault="007965BB">
      <w:r>
        <w:rPr>
          <w:color w:val="000000"/>
        </w:rPr>
        <w:t>Where applicable, proposals should leverage the data and services available through European Research Infrastructures federated under the European Open Science Cloud (EOSC), as well as data from relevant Data Spaces. Particular efforts should be made to ensure that the data produced in the context of this research is FAIR (Findable, Accessible, Interoperable and Re-usable).</w:t>
      </w:r>
    </w:p>
    <w:p w14:paraId="1881FD41" w14:textId="77777777" w:rsidR="00D84031" w:rsidRDefault="007965BB">
      <w:r>
        <w:rPr>
          <w:color w:val="000000"/>
        </w:rPr>
        <w:lastRenderedPageBreak/>
        <w:t>To maximise the impacts of R&amp;I under this Destination in line with EU priorities, international cooperation is encouraged whenever relevant in the proposed topics.</w:t>
      </w:r>
    </w:p>
    <w:p w14:paraId="4DDD55E4" w14:textId="77777777" w:rsidR="00D84031" w:rsidRDefault="007965BB">
      <w:r>
        <w:rPr>
          <w:color w:val="000000"/>
        </w:rPr>
        <w:t>Research on social and economic transformations funded by topics in the present Work Programme will build upon its predecessors in Horizon 2020 and Horizon Europe and further push the boundaries of state-of-the-art knowledge. It will do so by further engaging with a vast array of stakeholders, not limited to universities and research centres, but also extending to social partners (trade unions and business organizations), civil society organizations, practitioners, VET providers, and SMEs.</w:t>
      </w:r>
    </w:p>
    <w:p w14:paraId="3F34FD45" w14:textId="77777777" w:rsidR="00D84031" w:rsidRDefault="007965BB">
      <w:r>
        <w:rPr>
          <w:color w:val="000000"/>
        </w:rPr>
        <w:t>The destination will rely on a carefully balanced mix of actions, to bring together a balanced and appropriate set of stakeholdres to achieve research of the highest quality, while aiming at providing recommendations to policymakers at European, national, regional and local level that could have a beneficial societal and economic impact. In order to facilitate the latter, it will maximise the feedback to policy and the dissemination and exploitation of research and innovation results and practices in the do</w:t>
      </w:r>
      <w:r>
        <w:rPr>
          <w:color w:val="000000"/>
        </w:rPr>
        <w:t>main of social and economic transformations.</w:t>
      </w:r>
    </w:p>
    <w:p w14:paraId="6EE51A0E" w14:textId="77777777" w:rsidR="00D84031" w:rsidRDefault="007965BB">
      <w:r>
        <w:t>Proposals are invited against the following topic(s):</w:t>
      </w:r>
    </w:p>
    <w:p w14:paraId="66256AB1" w14:textId="77777777" w:rsidR="00D84031" w:rsidRDefault="007965BB">
      <w:pPr>
        <w:pStyle w:val="HeadingThree"/>
      </w:pPr>
      <w:r>
        <w:t>HORIZON-CL2-2026-02-TRANSFO-01: Co-funded European Partnership for Social Transformations and Resilience</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3"/>
        <w:gridCol w:w="7199"/>
      </w:tblGrid>
      <w:tr w:rsidR="00C62CF4" w14:paraId="550C7BD7" w14:textId="77777777" w:rsidTr="00C62CF4">
        <w:tc>
          <w:tcPr>
            <w:tcW w:w="0" w:type="auto"/>
            <w:gridSpan w:val="2"/>
          </w:tcPr>
          <w:p w14:paraId="447AFFD0" w14:textId="77777777" w:rsidR="00D84031" w:rsidRDefault="007965BB">
            <w:pPr>
              <w:pStyle w:val="CellTextValue"/>
            </w:pPr>
            <w:r>
              <w:rPr>
                <w:b/>
              </w:rPr>
              <w:t>Call: Cluster 2 Partnerships</w:t>
            </w:r>
          </w:p>
        </w:tc>
      </w:tr>
      <w:tr w:rsidR="00C62CF4" w14:paraId="57D93F48" w14:textId="77777777" w:rsidTr="00C62CF4">
        <w:tc>
          <w:tcPr>
            <w:tcW w:w="0" w:type="auto"/>
            <w:gridSpan w:val="2"/>
          </w:tcPr>
          <w:p w14:paraId="5AF7D699" w14:textId="77777777" w:rsidR="00D84031" w:rsidRDefault="007965BB">
            <w:pPr>
              <w:pStyle w:val="CellTextValue"/>
            </w:pPr>
            <w:r>
              <w:rPr>
                <w:b/>
              </w:rPr>
              <w:t>Specific conditions</w:t>
            </w:r>
          </w:p>
        </w:tc>
      </w:tr>
      <w:tr w:rsidR="00D84031" w14:paraId="34E5A8CA" w14:textId="77777777">
        <w:tc>
          <w:tcPr>
            <w:tcW w:w="0" w:type="auto"/>
          </w:tcPr>
          <w:p w14:paraId="445D9B13" w14:textId="77777777" w:rsidR="00D84031" w:rsidRDefault="007965BB">
            <w:pPr>
              <w:pStyle w:val="CellTextValue"/>
              <w:jc w:val="left"/>
            </w:pPr>
            <w:r>
              <w:rPr>
                <w:i/>
              </w:rPr>
              <w:t>Expected EU contribution per project</w:t>
            </w:r>
          </w:p>
        </w:tc>
        <w:tc>
          <w:tcPr>
            <w:tcW w:w="0" w:type="auto"/>
          </w:tcPr>
          <w:p w14:paraId="561313A6" w14:textId="77777777" w:rsidR="00D84031" w:rsidRDefault="007965BB">
            <w:pPr>
              <w:pStyle w:val="CellTextValue"/>
            </w:pPr>
            <w:r>
              <w:t>The Commission estimates that an EU contribution of around EUR 60.00 million would allow these outcomes to be addressed appropriately. Nonetheless, this does not preclude submission and selection of a proposal requesting different amounts.</w:t>
            </w:r>
          </w:p>
        </w:tc>
      </w:tr>
      <w:tr w:rsidR="00D84031" w14:paraId="22753E02" w14:textId="77777777">
        <w:tc>
          <w:tcPr>
            <w:tcW w:w="0" w:type="auto"/>
          </w:tcPr>
          <w:p w14:paraId="69890CEB" w14:textId="77777777" w:rsidR="00D84031" w:rsidRDefault="007965BB">
            <w:pPr>
              <w:pStyle w:val="CellTextValue"/>
              <w:jc w:val="left"/>
            </w:pPr>
            <w:r>
              <w:rPr>
                <w:i/>
              </w:rPr>
              <w:t>Indicative budget</w:t>
            </w:r>
          </w:p>
        </w:tc>
        <w:tc>
          <w:tcPr>
            <w:tcW w:w="0" w:type="auto"/>
          </w:tcPr>
          <w:p w14:paraId="49C194C6" w14:textId="77777777" w:rsidR="00D84031" w:rsidRDefault="007965BB">
            <w:pPr>
              <w:pStyle w:val="CellTextValue"/>
            </w:pPr>
            <w:r>
              <w:t>The total indicative budget for the topic is EUR 60.00 million.</w:t>
            </w:r>
          </w:p>
        </w:tc>
      </w:tr>
      <w:tr w:rsidR="00D84031" w14:paraId="27AB649E" w14:textId="77777777">
        <w:tc>
          <w:tcPr>
            <w:tcW w:w="0" w:type="auto"/>
          </w:tcPr>
          <w:p w14:paraId="06D8908C" w14:textId="77777777" w:rsidR="00D84031" w:rsidRDefault="007965BB">
            <w:pPr>
              <w:pStyle w:val="CellTextValue"/>
              <w:jc w:val="left"/>
            </w:pPr>
            <w:r>
              <w:rPr>
                <w:i/>
              </w:rPr>
              <w:t>Type of Action</w:t>
            </w:r>
          </w:p>
        </w:tc>
        <w:tc>
          <w:tcPr>
            <w:tcW w:w="0" w:type="auto"/>
          </w:tcPr>
          <w:p w14:paraId="3D2DF8B7" w14:textId="77777777" w:rsidR="00D84031" w:rsidRDefault="007965BB">
            <w:pPr>
              <w:pStyle w:val="CellTextValue"/>
            </w:pPr>
            <w:r>
              <w:rPr>
                <w:color w:val="000000"/>
              </w:rPr>
              <w:t>Programme Co-fund Action</w:t>
            </w:r>
          </w:p>
        </w:tc>
      </w:tr>
      <w:tr w:rsidR="00D84031" w14:paraId="0DD6DCF4" w14:textId="77777777">
        <w:tc>
          <w:tcPr>
            <w:tcW w:w="0" w:type="auto"/>
          </w:tcPr>
          <w:p w14:paraId="753FB698" w14:textId="77777777" w:rsidR="00D84031" w:rsidRDefault="007965BB">
            <w:pPr>
              <w:pStyle w:val="CellTextValue"/>
              <w:jc w:val="left"/>
            </w:pPr>
            <w:r>
              <w:rPr>
                <w:i/>
              </w:rPr>
              <w:t>Procedure</w:t>
            </w:r>
          </w:p>
        </w:tc>
        <w:tc>
          <w:tcPr>
            <w:tcW w:w="0" w:type="auto"/>
          </w:tcPr>
          <w:p w14:paraId="284CE413" w14:textId="77777777" w:rsidR="00D84031" w:rsidRDefault="007965BB">
            <w:pPr>
              <w:pStyle w:val="CellTextValue"/>
            </w:pPr>
            <w:r>
              <w:rPr>
                <w:color w:val="000000"/>
              </w:rPr>
              <w:t xml:space="preserve">The procedure is described in General Annex F. The following </w:t>
            </w:r>
            <w:r>
              <w:rPr>
                <w:color w:val="000000"/>
              </w:rPr>
              <w:t>exceptions apply:</w:t>
            </w:r>
          </w:p>
          <w:p w14:paraId="28D67450" w14:textId="77777777" w:rsidR="00D84031" w:rsidRDefault="007965BB">
            <w:pPr>
              <w:pStyle w:val="CellTextValue"/>
            </w:pPr>
            <w:r>
              <w:rPr>
                <w:color w:val="000000"/>
              </w:rPr>
              <w:t>The granting authority can fund a maximum of one project.</w:t>
            </w:r>
          </w:p>
          <w:p w14:paraId="4638D882" w14:textId="77777777" w:rsidR="00D84031" w:rsidRDefault="007965BB">
            <w:pPr>
              <w:pStyle w:val="CellTextValue"/>
            </w:pPr>
            <w:r>
              <w:rPr>
                <w:color w:val="000000"/>
              </w:rPr>
              <w:t>Representatives of the EU institutions will be part of the evaluation committee.</w:t>
            </w:r>
          </w:p>
        </w:tc>
      </w:tr>
      <w:tr w:rsidR="00D84031" w14:paraId="1E98DC64" w14:textId="77777777">
        <w:tc>
          <w:tcPr>
            <w:tcW w:w="0" w:type="auto"/>
          </w:tcPr>
          <w:p w14:paraId="06E73B6F" w14:textId="77777777" w:rsidR="00D84031" w:rsidRDefault="007965BB">
            <w:pPr>
              <w:pStyle w:val="CellTextValue"/>
              <w:jc w:val="left"/>
            </w:pPr>
            <w:r>
              <w:rPr>
                <w:i/>
              </w:rPr>
              <w:t>Legal and financial set-up of the Grant Agreements</w:t>
            </w:r>
          </w:p>
        </w:tc>
        <w:tc>
          <w:tcPr>
            <w:tcW w:w="0" w:type="auto"/>
          </w:tcPr>
          <w:p w14:paraId="6FDFCD0A" w14:textId="77777777" w:rsidR="00D84031" w:rsidRDefault="007965BB">
            <w:pPr>
              <w:pStyle w:val="CellTextValue"/>
            </w:pPr>
            <w:r>
              <w:rPr>
                <w:color w:val="000000"/>
              </w:rPr>
              <w:t>The rules are described in General Annex G. The following exceptions apply:</w:t>
            </w:r>
          </w:p>
          <w:p w14:paraId="77C9EFEA" w14:textId="77777777" w:rsidR="00D84031" w:rsidRDefault="007965BB">
            <w:pPr>
              <w:pStyle w:val="CellTextValue"/>
            </w:pPr>
            <w:r>
              <w:rPr>
                <w:color w:val="000000"/>
              </w:rPr>
              <w:t xml:space="preserve">The starting date of grants awarded under this topic may be as of the submission date of the application. Applicants must justify the need for a retroactive starting date in their application. Costs incurred from the </w:t>
            </w:r>
            <w:r>
              <w:rPr>
                <w:color w:val="000000"/>
              </w:rPr>
              <w:lastRenderedPageBreak/>
              <w:t xml:space="preserve">starting date of the action may be considered eligible. </w:t>
            </w:r>
          </w:p>
          <w:p w14:paraId="1905EACE" w14:textId="77777777" w:rsidR="00D84031" w:rsidRDefault="007965BB">
            <w:pPr>
              <w:pStyle w:val="CellTextValue"/>
            </w:pPr>
            <w:r>
              <w:rPr>
                <w:color w:val="000000"/>
              </w:rPr>
              <w:t xml:space="preserve">Beneficiaries may provide financial support to third parties (FSTP). The support to third parties can only be provided in the form of grants. </w:t>
            </w:r>
          </w:p>
          <w:p w14:paraId="130DB1FD" w14:textId="77777777" w:rsidR="00D84031" w:rsidRDefault="007965BB">
            <w:r>
              <w:rPr>
                <w:color w:val="000000"/>
              </w:rPr>
              <w:t>As a co-funded European Partnership, providing financial support to third parties is a core activity of this action in order to achieve its objectives. Consequently, the EUR 60 000 threshold laid down in Article 207 of Financial Regulation (EU, Euratom) 2024/2509 does not apply. The maximum amount of FSTP that may be awarded to any single third party is set at EUR 3 million for the entire duration of the action. This ceiling is justified by the fact that FSTP is a primary activity of this action, by its exp</w:t>
            </w:r>
            <w:r>
              <w:rPr>
                <w:color w:val="000000"/>
              </w:rPr>
              <w:t xml:space="preserve">ected duration of 7–10 years (exceeding a standard project lifespan), and by the extensive experience gained under predecessor partnerships. However, if the objectives of the action would otherwise be impossible or overly difficult (and duly justified in the proposal) the maximum amount may be higher. </w:t>
            </w:r>
          </w:p>
          <w:p w14:paraId="0F71DF86" w14:textId="77777777" w:rsidR="00D84031" w:rsidRDefault="007965BB">
            <w:pPr>
              <w:pStyle w:val="CellTextValue"/>
            </w:pPr>
            <w:r>
              <w:rPr>
                <w:color w:val="000000"/>
              </w:rPr>
              <w:t>The funding rate is up to 30% of the eligible costs.</w:t>
            </w:r>
          </w:p>
        </w:tc>
      </w:tr>
    </w:tbl>
    <w:p w14:paraId="694BB175" w14:textId="77777777" w:rsidR="00D84031" w:rsidRDefault="00D84031">
      <w:pPr>
        <w:spacing w:after="0" w:line="150" w:lineRule="auto"/>
      </w:pPr>
    </w:p>
    <w:p w14:paraId="17E3BA23" w14:textId="77777777" w:rsidR="00D84031" w:rsidRDefault="007965BB">
      <w:r>
        <w:rPr>
          <w:u w:val="single"/>
        </w:rPr>
        <w:t>Expected Outcome</w:t>
      </w:r>
      <w:r>
        <w:t xml:space="preserve">: </w:t>
      </w:r>
      <w:r>
        <w:rPr>
          <w:color w:val="000000"/>
        </w:rPr>
        <w:t>Project should contribute to all of the following expected outcomes:</w:t>
      </w:r>
    </w:p>
    <w:p w14:paraId="16688205" w14:textId="77777777" w:rsidR="00D84031" w:rsidRDefault="007965BB" w:rsidP="00C62CF4">
      <w:pPr>
        <w:pStyle w:val="ListParagraph"/>
        <w:numPr>
          <w:ilvl w:val="0"/>
          <w:numId w:val="62"/>
        </w:numPr>
      </w:pPr>
      <w:r>
        <w:rPr>
          <w:color w:val="000000"/>
        </w:rPr>
        <w:t xml:space="preserve">Research funders, policymakers and research communities in the social sciences and humanities (SSH) are provided with a </w:t>
      </w:r>
      <w:r>
        <w:rPr>
          <w:color w:val="000000"/>
        </w:rPr>
        <w:t>multi-annual R&amp;I programme on social transformations and resilience, responding to the green, digital and demographic transitions and unexpected shocks.</w:t>
      </w:r>
    </w:p>
    <w:p w14:paraId="4250C139" w14:textId="77777777" w:rsidR="00D84031" w:rsidRDefault="007965BB" w:rsidP="00C62CF4">
      <w:pPr>
        <w:pStyle w:val="ListParagraph"/>
        <w:numPr>
          <w:ilvl w:val="0"/>
          <w:numId w:val="62"/>
        </w:numPr>
      </w:pPr>
      <w:r>
        <w:rPr>
          <w:color w:val="000000"/>
        </w:rPr>
        <w:t>Research investments on social protection and essential services, future of work, education and skills, and a fair transition to climate neutrality are increased.</w:t>
      </w:r>
    </w:p>
    <w:p w14:paraId="2F118585" w14:textId="77777777" w:rsidR="00D84031" w:rsidRDefault="007965BB" w:rsidP="00C62CF4">
      <w:pPr>
        <w:pStyle w:val="ListParagraph"/>
        <w:numPr>
          <w:ilvl w:val="0"/>
          <w:numId w:val="62"/>
        </w:numPr>
      </w:pPr>
      <w:r>
        <w:rPr>
          <w:color w:val="000000"/>
        </w:rPr>
        <w:t xml:space="preserve">Stakeholders, including social partners and civil society, and policymakers are provided with evidence-based knowledge, tools and innovative solutions, which contribute to new policies and strategies for strengthening resilience, fairness, inclusiveness and social cohesion at European, national and regional level.  </w:t>
      </w:r>
    </w:p>
    <w:p w14:paraId="4E3C02AD" w14:textId="77777777" w:rsidR="00D84031" w:rsidRDefault="007965BB">
      <w:r>
        <w:rPr>
          <w:u w:val="single"/>
        </w:rPr>
        <w:t>Scope</w:t>
      </w:r>
      <w:r>
        <w:t xml:space="preserve">: </w:t>
      </w:r>
      <w:r>
        <w:rPr>
          <w:color w:val="000000"/>
        </w:rPr>
        <w:t>Europe is undergoing critical social transformations driven by macro drivers of change, such as the green and digital transitions, and demographic change, which were accelerated by events, such as the COVID-19 pandemic and Russia’s war of aggression against Ukraine. These transformations bring challenges and opportunities such as changing skills demands and labour shortages, new digital and intergenerational divides, increasing inequalities and threats to social cohesion, and rising costs of social protec</w:t>
      </w:r>
      <w:r>
        <w:rPr>
          <w:color w:val="000000"/>
        </w:rPr>
        <w:t>tion, among others. The magnitude of these social transformations as well as the heterogeneity in welfare systems and labour markets call for combined inter- and transdisciplinary knowledge and resource sharing, and long-term concerted actions, on the basis of a Strategic Research and Innovation Agenda (SRIA).</w:t>
      </w:r>
    </w:p>
    <w:p w14:paraId="6F3F8C00" w14:textId="77777777" w:rsidR="00D84031" w:rsidRDefault="007965BB">
      <w:r>
        <w:rPr>
          <w:color w:val="000000"/>
        </w:rPr>
        <w:lastRenderedPageBreak/>
        <w:t>Proposals for the co-funded Social Transformations and Resilience (STR) partnership should aim at creating a 7-year research and innovation programme</w:t>
      </w:r>
      <w:r>
        <w:rPr>
          <w:vertAlign w:val="superscript"/>
        </w:rPr>
        <w:footnoteReference w:id="151"/>
      </w:r>
      <w:r>
        <w:rPr>
          <w:color w:val="000000"/>
        </w:rPr>
        <w:t xml:space="preserve"> which will make use of the potential of SSH to build resilience, ensure fairness and inclusiveness and foster social cohesion in the light of changes in climate, technology, demography and unexpected shocks. To this end, proposals should pool the necessary financial resources from the participating national (or regional) research programmes, with a view to implementing joint calls for transnational proposals resulting in grants to third parties.</w:t>
      </w:r>
    </w:p>
    <w:p w14:paraId="73EABE14" w14:textId="77777777" w:rsidR="00D84031" w:rsidRDefault="007965BB">
      <w:r>
        <w:rPr>
          <w:color w:val="000000"/>
        </w:rPr>
        <w:t>Innovations and scientific results achieved are expected to contribute to reaching EU priorities in the European Pillar of Social Rights, the EU Green Deal, to strengthening the European Research Area (ERA) and the European Education Area (EEA) and to contribute to designing better national, regional and local policies, in line with their respective strategies.</w:t>
      </w:r>
    </w:p>
    <w:p w14:paraId="0F8AFCA1" w14:textId="77777777" w:rsidR="00D84031" w:rsidRDefault="007965BB">
      <w:r>
        <w:rPr>
          <w:color w:val="000000"/>
        </w:rPr>
        <w:t>An additional objective is to contribute to the implementation of United Nations Sustainable Development Goals number 1 (No Poverty), 4 (Quality Education), 5 (Gender Equality), 8 (Decent Work and Economic Growth), 10 (Reducing Inequalities), 11 (Sustainable Cities and Communities), 13 (Climate Action), and 16 (Peace, Justice and Strong Institutions).</w:t>
      </w:r>
    </w:p>
    <w:p w14:paraId="620A6D99" w14:textId="77777777" w:rsidR="00D84031" w:rsidRDefault="007965BB">
      <w:r>
        <w:rPr>
          <w:color w:val="000000"/>
        </w:rPr>
        <w:t>To achieve these objectives, the partnership is expected to launch annual transnational calls for proposals and additional activities in four interconnected impact areas:</w:t>
      </w:r>
    </w:p>
    <w:p w14:paraId="451B80DD" w14:textId="77777777" w:rsidR="00D84031" w:rsidRDefault="007965BB" w:rsidP="00C62CF4">
      <w:pPr>
        <w:pStyle w:val="ListParagraph"/>
        <w:numPr>
          <w:ilvl w:val="0"/>
          <w:numId w:val="63"/>
        </w:numPr>
      </w:pPr>
      <w:r>
        <w:rPr>
          <w:color w:val="000000"/>
        </w:rPr>
        <w:t>Supporting the modernisation of social protection systems and essential services</w:t>
      </w:r>
    </w:p>
    <w:p w14:paraId="4B2B88E8" w14:textId="77777777" w:rsidR="00D84031" w:rsidRDefault="007965BB" w:rsidP="00C62CF4">
      <w:pPr>
        <w:pStyle w:val="ListParagraph"/>
        <w:numPr>
          <w:ilvl w:val="0"/>
          <w:numId w:val="63"/>
        </w:numPr>
      </w:pPr>
      <w:r>
        <w:rPr>
          <w:color w:val="000000"/>
        </w:rPr>
        <w:t>Shaping the future of work</w:t>
      </w:r>
    </w:p>
    <w:p w14:paraId="60301854" w14:textId="77777777" w:rsidR="00D84031" w:rsidRDefault="007965BB" w:rsidP="00C62CF4">
      <w:pPr>
        <w:pStyle w:val="ListParagraph"/>
        <w:numPr>
          <w:ilvl w:val="0"/>
          <w:numId w:val="63"/>
        </w:numPr>
      </w:pPr>
      <w:r>
        <w:rPr>
          <w:color w:val="000000"/>
        </w:rPr>
        <w:t>Fostering education and skills development</w:t>
      </w:r>
    </w:p>
    <w:p w14:paraId="30222582" w14:textId="77777777" w:rsidR="00D84031" w:rsidRDefault="007965BB" w:rsidP="00C62CF4">
      <w:pPr>
        <w:pStyle w:val="ListParagraph"/>
        <w:numPr>
          <w:ilvl w:val="0"/>
          <w:numId w:val="63"/>
        </w:numPr>
      </w:pPr>
      <w:r>
        <w:rPr>
          <w:color w:val="000000"/>
        </w:rPr>
        <w:t xml:space="preserve">Contributing to a fair transition to climate neutrality  </w:t>
      </w:r>
    </w:p>
    <w:p w14:paraId="2905C1A6" w14:textId="77777777" w:rsidR="00D84031" w:rsidRDefault="007965BB">
      <w:r>
        <w:rPr>
          <w:color w:val="000000"/>
        </w:rPr>
        <w:t>The STR partnership is expected to organise activities along the following six operational objectives:</w:t>
      </w:r>
    </w:p>
    <w:p w14:paraId="5CE2B37A" w14:textId="77777777" w:rsidR="00D84031" w:rsidRDefault="007965BB" w:rsidP="00C62CF4">
      <w:pPr>
        <w:pStyle w:val="ListParagraph"/>
        <w:numPr>
          <w:ilvl w:val="0"/>
          <w:numId w:val="64"/>
        </w:numPr>
      </w:pPr>
      <w:r>
        <w:rPr>
          <w:color w:val="000000"/>
        </w:rPr>
        <w:t xml:space="preserve">Collect data and evidence to measure social transformations, drawing from a variety of qualitative and quantitative methods in the social sciences and humanities, and use these to inform the development of evidence-based public policies and strategies. </w:t>
      </w:r>
    </w:p>
    <w:p w14:paraId="000C35AD" w14:textId="77777777" w:rsidR="00D84031" w:rsidRDefault="007965BB" w:rsidP="00C62CF4">
      <w:pPr>
        <w:pStyle w:val="ListParagraph"/>
        <w:numPr>
          <w:ilvl w:val="0"/>
          <w:numId w:val="64"/>
        </w:numPr>
      </w:pPr>
      <w:r>
        <w:rPr>
          <w:color w:val="000000"/>
        </w:rPr>
        <w:t xml:space="preserve">Promote comparative studies to identify and share best practices and failures at regional, national and EU level. </w:t>
      </w:r>
    </w:p>
    <w:p w14:paraId="6F73E5F7" w14:textId="77777777" w:rsidR="00D84031" w:rsidRDefault="007965BB" w:rsidP="00C62CF4">
      <w:pPr>
        <w:pStyle w:val="ListParagraph"/>
        <w:numPr>
          <w:ilvl w:val="0"/>
          <w:numId w:val="64"/>
        </w:numPr>
      </w:pPr>
      <w:r>
        <w:rPr>
          <w:color w:val="000000"/>
        </w:rPr>
        <w:t>Construct new, innovative ways to connect researchers with policymakers, stakeholders, citizens and social innovators in working together, communicating needs and results.</w:t>
      </w:r>
    </w:p>
    <w:p w14:paraId="4C4A36CF" w14:textId="77777777" w:rsidR="00D84031" w:rsidRDefault="007965BB" w:rsidP="00C62CF4">
      <w:pPr>
        <w:pStyle w:val="ListParagraph"/>
        <w:numPr>
          <w:ilvl w:val="0"/>
          <w:numId w:val="64"/>
        </w:numPr>
      </w:pPr>
      <w:r>
        <w:rPr>
          <w:color w:val="000000"/>
        </w:rPr>
        <w:t xml:space="preserve">Develop social and </w:t>
      </w:r>
      <w:r>
        <w:rPr>
          <w:color w:val="000000"/>
        </w:rPr>
        <w:t>individual experimentations at all levels (subnational, national, European) to better understand the impact of social transformations and public policies.</w:t>
      </w:r>
    </w:p>
    <w:p w14:paraId="5625710C" w14:textId="77777777" w:rsidR="00D84031" w:rsidRDefault="007965BB" w:rsidP="00C62CF4">
      <w:pPr>
        <w:pStyle w:val="ListParagraph"/>
        <w:numPr>
          <w:ilvl w:val="0"/>
          <w:numId w:val="64"/>
        </w:numPr>
      </w:pPr>
      <w:r>
        <w:rPr>
          <w:color w:val="000000"/>
        </w:rPr>
        <w:lastRenderedPageBreak/>
        <w:t>Encourage the development of new analytical, methodological and epistemological tools to better understand social transformations and resilience.</w:t>
      </w:r>
    </w:p>
    <w:p w14:paraId="756ECEFE" w14:textId="77777777" w:rsidR="00D84031" w:rsidRDefault="007965BB" w:rsidP="00C62CF4">
      <w:pPr>
        <w:pStyle w:val="ListParagraph"/>
        <w:numPr>
          <w:ilvl w:val="0"/>
          <w:numId w:val="64"/>
        </w:numPr>
      </w:pPr>
      <w:r>
        <w:rPr>
          <w:color w:val="000000"/>
        </w:rPr>
        <w:t xml:space="preserve">Build capacity among the R&amp;I community and policymakers to adjust and strengthen social infrastructures and services in light of unexpected shocks.  </w:t>
      </w:r>
    </w:p>
    <w:p w14:paraId="3707ED38" w14:textId="77777777" w:rsidR="00D84031" w:rsidRDefault="007965BB">
      <w:r>
        <w:rPr>
          <w:color w:val="000000"/>
        </w:rPr>
        <w:t>Proposals should build on the work of ERA-NETs CHANSE, as well as other relevant networks and initiatives, such as HERA and NORFACE, the Trans-Atlantic Platform for Social Sciences and Humanities (T-AP) and the Joint Programming Initiative More Years, Better Lives (JPI MYBL). By bringing together different stakeholders in academia, policymakers, social partners and trade associations, civil society and international organisations, the partnership should create a critical mass of knowledge and resources to i</w:t>
      </w:r>
      <w:r>
        <w:rPr>
          <w:color w:val="000000"/>
        </w:rPr>
        <w:t>mplement a long-term SRIA.</w:t>
      </w:r>
    </w:p>
    <w:p w14:paraId="46245C6D" w14:textId="77777777" w:rsidR="00D84031" w:rsidRDefault="007965BB">
      <w:r>
        <w:rPr>
          <w:color w:val="000000"/>
        </w:rPr>
        <w:t xml:space="preserve">The partnership should engage with the following stakeholders: (i) National research funding agencies and ministries in research and higher education; (ii) ministries responsible for labour, social affairs, employment, climate and environment, where possible, as well as other relevant public authorities in the four impact areas; (iii) researchers from the social sciences and humanities and transdisciplinary fields; (iv) social partners, citizens’ organisations and NGOs at local, national and EU level, such </w:t>
      </w:r>
      <w:r>
        <w:rPr>
          <w:color w:val="000000"/>
        </w:rPr>
        <w:t xml:space="preserve">as trade unions, employer associations, practitioners and non-profit organisations advocating for the rights of disadvantaged groups; (v) private sector, which may include employment agencies, providers of essential services, social entrepreneurs, and private education institutions. </w:t>
      </w:r>
    </w:p>
    <w:p w14:paraId="7BFAAEB1" w14:textId="77777777" w:rsidR="00D84031" w:rsidRDefault="007965BB">
      <w:r>
        <w:rPr>
          <w:color w:val="000000"/>
        </w:rPr>
        <w:t xml:space="preserve">As </w:t>
      </w:r>
      <w:r>
        <w:rPr>
          <w:color w:val="000000"/>
        </w:rPr>
        <w:t>the partnership touches upon fundamental aspects of peoples’ lives (work, social protection, education, and a fair green transition), it is instrumental to involve relevant actors, interest groups and potential end-users of the research results in the partnership’s activities. Gender and intersectional aspects should be considered throughout all activities and joint calls.</w:t>
      </w:r>
    </w:p>
    <w:p w14:paraId="5B0CA81F" w14:textId="77777777" w:rsidR="00D84031" w:rsidRDefault="007965BB">
      <w:r>
        <w:rPr>
          <w:color w:val="000000"/>
        </w:rPr>
        <w:t>EU agencies (e.g. Eurofound, ELA, CEDEFOP</w:t>
      </w:r>
      <w:r>
        <w:rPr>
          <w:vertAlign w:val="superscript"/>
        </w:rPr>
        <w:footnoteReference w:id="152"/>
      </w:r>
      <w:r>
        <w:rPr>
          <w:color w:val="000000"/>
        </w:rPr>
        <w:t>) which deal with issues related to the four impact areas, such as working conditions, vocational education and training, and labour law, as well as international organisations such as the ILO and the OECD, need to be considered as stakeholders, as they can provide important inputs and resources to the partnership. Collaboration with existing research infrastructures (e.g. European Social Survey, SHARE, CLARIN, CESSDA, Eurostat) is encouraged. This should aim at facilitating access to data (e.g. on social s</w:t>
      </w:r>
      <w:r>
        <w:rPr>
          <w:color w:val="000000"/>
        </w:rPr>
        <w:t>ecurity) and making use of relevant datasets in the projects that will be funded under this partnership.</w:t>
      </w:r>
    </w:p>
    <w:p w14:paraId="0F9A95CA" w14:textId="77777777" w:rsidR="00D84031" w:rsidRDefault="007965BB">
      <w:r>
        <w:rPr>
          <w:color w:val="000000"/>
        </w:rPr>
        <w:t>The partnership is open to all EU Member States and countries associated to Horizon Europe and will remain open to third countries wishing to join. Partners are expected to contribute financially and/or through eligible activities</w:t>
      </w:r>
      <w:r>
        <w:rPr>
          <w:vertAlign w:val="superscript"/>
        </w:rPr>
        <w:footnoteReference w:id="153"/>
      </w:r>
      <w:r>
        <w:rPr>
          <w:color w:val="000000"/>
        </w:rPr>
        <w:t xml:space="preserve">, depending on the level of ambition of the </w:t>
      </w:r>
      <w:r>
        <w:rPr>
          <w:color w:val="000000"/>
        </w:rPr>
        <w:lastRenderedPageBreak/>
        <w:t xml:space="preserve">proposed activities. The partnership should be open to new partners throughout its lifetime. Importantly, the EU contribution will not be increased. </w:t>
      </w:r>
    </w:p>
    <w:p w14:paraId="387128C5" w14:textId="77777777" w:rsidR="00D84031" w:rsidRDefault="007965BB">
      <w:r>
        <w:rPr>
          <w:color w:val="000000"/>
        </w:rPr>
        <w:t>To ensure coherence and complementarity of activities and leverage knowledge and joint activities, the partnership is expected to establish synergies with relevant Horizon Europe projects under relevant Clusters of Pillar II, partnerships - such as the Driving Urban Transitions (DUT) partnership or the Clean Energy Transition (CET) partnership, the Missions - such as the Mission on climate-neutral and smart cities as well as the Mission on Climate Adaptation - and the New European Bauhaus Facility, among ot</w:t>
      </w:r>
      <w:r>
        <w:rPr>
          <w:color w:val="000000"/>
        </w:rPr>
        <w:t>hers.</w:t>
      </w:r>
    </w:p>
    <w:p w14:paraId="6835E4DB" w14:textId="77777777" w:rsidR="00D84031" w:rsidRDefault="007965BB">
      <w:pPr>
        <w:pStyle w:val="HeadingThree"/>
      </w:pPr>
      <w:r>
        <w:t>HORIZON-CL2-2026-01-TRANSFO-02: Open topic: Strengthen Europe's social model and sustainable competitiveness through productivity</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269959D0" w14:textId="77777777" w:rsidTr="00C62CF4">
        <w:tc>
          <w:tcPr>
            <w:tcW w:w="0" w:type="auto"/>
            <w:gridSpan w:val="2"/>
          </w:tcPr>
          <w:p w14:paraId="769996D9" w14:textId="77777777" w:rsidR="00D84031" w:rsidRDefault="007965BB">
            <w:pPr>
              <w:pStyle w:val="CellTextValue"/>
            </w:pPr>
            <w:r>
              <w:rPr>
                <w:b/>
              </w:rPr>
              <w:t>Call: Culture, Creativity and Inclusive Society 2026</w:t>
            </w:r>
          </w:p>
        </w:tc>
      </w:tr>
      <w:tr w:rsidR="00C62CF4" w14:paraId="56F4563E" w14:textId="77777777" w:rsidTr="00C62CF4">
        <w:tc>
          <w:tcPr>
            <w:tcW w:w="0" w:type="auto"/>
            <w:gridSpan w:val="2"/>
          </w:tcPr>
          <w:p w14:paraId="64175800" w14:textId="77777777" w:rsidR="00D84031" w:rsidRDefault="007965BB">
            <w:pPr>
              <w:pStyle w:val="CellTextValue"/>
            </w:pPr>
            <w:r>
              <w:rPr>
                <w:b/>
              </w:rPr>
              <w:t>Specific conditions</w:t>
            </w:r>
          </w:p>
        </w:tc>
      </w:tr>
      <w:tr w:rsidR="00D84031" w14:paraId="27DE573F" w14:textId="77777777">
        <w:tc>
          <w:tcPr>
            <w:tcW w:w="0" w:type="auto"/>
          </w:tcPr>
          <w:p w14:paraId="769D7132" w14:textId="77777777" w:rsidR="00D84031" w:rsidRDefault="007965BB">
            <w:pPr>
              <w:pStyle w:val="CellTextValue"/>
              <w:jc w:val="left"/>
            </w:pPr>
            <w:r>
              <w:rPr>
                <w:i/>
              </w:rPr>
              <w:t>Expected EU contribution per project</w:t>
            </w:r>
          </w:p>
        </w:tc>
        <w:tc>
          <w:tcPr>
            <w:tcW w:w="0" w:type="auto"/>
          </w:tcPr>
          <w:p w14:paraId="110C81DB" w14:textId="77777777" w:rsidR="00D84031" w:rsidRDefault="007965BB">
            <w:pPr>
              <w:pStyle w:val="CellTextValue"/>
            </w:pPr>
            <w:r>
              <w:t xml:space="preserve">The Commission estimates that an EU contribution of between EUR 3.00 and </w:t>
            </w:r>
            <w:r>
              <w:t>4.00 million would allow these outcomes to be addressed appropriately. Nonetheless, this does not preclude submission and selection of a proposal requesting different amounts.</w:t>
            </w:r>
          </w:p>
        </w:tc>
      </w:tr>
      <w:tr w:rsidR="00D84031" w14:paraId="389A1094" w14:textId="77777777">
        <w:tc>
          <w:tcPr>
            <w:tcW w:w="0" w:type="auto"/>
          </w:tcPr>
          <w:p w14:paraId="17C5D791" w14:textId="77777777" w:rsidR="00D84031" w:rsidRDefault="007965BB">
            <w:pPr>
              <w:pStyle w:val="CellTextValue"/>
              <w:jc w:val="left"/>
            </w:pPr>
            <w:r>
              <w:rPr>
                <w:i/>
              </w:rPr>
              <w:t>Indicative budget</w:t>
            </w:r>
          </w:p>
        </w:tc>
        <w:tc>
          <w:tcPr>
            <w:tcW w:w="0" w:type="auto"/>
          </w:tcPr>
          <w:p w14:paraId="1BEB9AB0" w14:textId="77777777" w:rsidR="00D84031" w:rsidRDefault="007965BB">
            <w:pPr>
              <w:pStyle w:val="CellTextValue"/>
            </w:pPr>
            <w:r>
              <w:t>The total indicative budget for the topic is EUR 12.00 million.</w:t>
            </w:r>
          </w:p>
        </w:tc>
      </w:tr>
      <w:tr w:rsidR="00D84031" w14:paraId="1F32D4E3" w14:textId="77777777">
        <w:tc>
          <w:tcPr>
            <w:tcW w:w="0" w:type="auto"/>
          </w:tcPr>
          <w:p w14:paraId="097AD1EA" w14:textId="77777777" w:rsidR="00D84031" w:rsidRDefault="007965BB">
            <w:pPr>
              <w:pStyle w:val="CellTextValue"/>
              <w:jc w:val="left"/>
            </w:pPr>
            <w:r>
              <w:rPr>
                <w:i/>
              </w:rPr>
              <w:t>Type of Action</w:t>
            </w:r>
          </w:p>
        </w:tc>
        <w:tc>
          <w:tcPr>
            <w:tcW w:w="0" w:type="auto"/>
          </w:tcPr>
          <w:p w14:paraId="47D3B0CF" w14:textId="77777777" w:rsidR="00D84031" w:rsidRDefault="007965BB">
            <w:pPr>
              <w:pStyle w:val="CellTextValue"/>
            </w:pPr>
            <w:r>
              <w:rPr>
                <w:color w:val="000000"/>
              </w:rPr>
              <w:t>Research and Innovation Actions</w:t>
            </w:r>
          </w:p>
        </w:tc>
      </w:tr>
      <w:tr w:rsidR="00D84031" w14:paraId="6560DA83" w14:textId="77777777">
        <w:tc>
          <w:tcPr>
            <w:tcW w:w="0" w:type="auto"/>
          </w:tcPr>
          <w:p w14:paraId="7C1DBA37" w14:textId="77777777" w:rsidR="00D84031" w:rsidRDefault="007965BB">
            <w:pPr>
              <w:pStyle w:val="CellTextValue"/>
              <w:jc w:val="left"/>
            </w:pPr>
            <w:r>
              <w:rPr>
                <w:i/>
              </w:rPr>
              <w:t>Legal and financial set-up of the Grant Agreements</w:t>
            </w:r>
          </w:p>
        </w:tc>
        <w:tc>
          <w:tcPr>
            <w:tcW w:w="0" w:type="auto"/>
          </w:tcPr>
          <w:p w14:paraId="1B7DC133" w14:textId="77777777" w:rsidR="00D84031" w:rsidRDefault="007965BB">
            <w:pPr>
              <w:pStyle w:val="CellTextValue"/>
            </w:pPr>
            <w:r>
              <w:rPr>
                <w:color w:val="000000"/>
              </w:rPr>
              <w:t>The rules are described in General Annex G. The following exceptions apply:</w:t>
            </w:r>
          </w:p>
          <w:p w14:paraId="426986B0"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54"/>
            </w:r>
            <w:r>
              <w:rPr>
                <w:color w:val="000000"/>
              </w:rPr>
              <w:t>.</w:t>
            </w:r>
          </w:p>
        </w:tc>
      </w:tr>
    </w:tbl>
    <w:p w14:paraId="4FABC5DB" w14:textId="77777777" w:rsidR="00D84031" w:rsidRDefault="00D84031">
      <w:pPr>
        <w:spacing w:after="0" w:line="150" w:lineRule="auto"/>
      </w:pPr>
    </w:p>
    <w:p w14:paraId="0BD23C7A" w14:textId="77777777" w:rsidR="00D84031" w:rsidRDefault="007965BB">
      <w:r>
        <w:rPr>
          <w:u w:val="single"/>
        </w:rPr>
        <w:t>Expected Outcome</w:t>
      </w:r>
      <w:r>
        <w:t xml:space="preserve">: </w:t>
      </w:r>
      <w:r>
        <w:rPr>
          <w:color w:val="000000"/>
        </w:rPr>
        <w:t>Projects should contribute to all of the following expected outcomes:</w:t>
      </w:r>
    </w:p>
    <w:p w14:paraId="1B66C69A" w14:textId="77777777" w:rsidR="00D84031" w:rsidRDefault="007965BB" w:rsidP="00C62CF4">
      <w:pPr>
        <w:pStyle w:val="ListParagraph"/>
        <w:numPr>
          <w:ilvl w:val="0"/>
          <w:numId w:val="65"/>
        </w:numPr>
      </w:pPr>
      <w:r>
        <w:rPr>
          <w:color w:val="000000"/>
        </w:rPr>
        <w:t>The concept of sustainable competitiveness is analysed taking into account the shifts in geopolitics, global trade patterns, as well as changes in climate, technology and demography.</w:t>
      </w:r>
    </w:p>
    <w:p w14:paraId="50DDB0DA" w14:textId="77777777" w:rsidR="00D84031" w:rsidRDefault="007965BB" w:rsidP="00C62CF4">
      <w:pPr>
        <w:pStyle w:val="ListParagraph"/>
        <w:numPr>
          <w:ilvl w:val="0"/>
          <w:numId w:val="65"/>
        </w:numPr>
      </w:pPr>
      <w:r>
        <w:rPr>
          <w:color w:val="000000"/>
        </w:rPr>
        <w:t xml:space="preserve">Policymakers are provided with recommendations and innovative solutions, including a toolbox to boost Member States and Associated Countries (labour) productivity while </w:t>
      </w:r>
      <w:r>
        <w:rPr>
          <w:color w:val="000000"/>
        </w:rPr>
        <w:lastRenderedPageBreak/>
        <w:t xml:space="preserve">ensuring high social standards and increasing competitiveness within planetary boundaries.  </w:t>
      </w:r>
    </w:p>
    <w:p w14:paraId="63D669CB" w14:textId="77777777" w:rsidR="00D84031" w:rsidRDefault="007965BB">
      <w:r>
        <w:rPr>
          <w:u w:val="single"/>
        </w:rPr>
        <w:t>Scope</w:t>
      </w:r>
      <w:r>
        <w:t xml:space="preserve">: </w:t>
      </w:r>
      <w:r>
        <w:rPr>
          <w:color w:val="000000"/>
        </w:rPr>
        <w:t>The Future of European competitiveness report (also known as the Draghi report)</w:t>
      </w:r>
      <w:r>
        <w:rPr>
          <w:vertAlign w:val="superscript"/>
        </w:rPr>
        <w:footnoteReference w:id="155"/>
      </w:r>
      <w:r>
        <w:rPr>
          <w:color w:val="000000"/>
        </w:rPr>
        <w:t xml:space="preserve"> analysed and discussed the reason for European declining competitiveness, productivity and growth vis-a-vis its main competitors. A competitive economy is defined as an economy whose sustained rate of productivity is able to drive growth and, consequently, income and welfare. Both the economy and the European social model have to adapt to the great drivers of change, including demography, technology, global trade patterns, climate, and geopolitical shifts.</w:t>
      </w:r>
    </w:p>
    <w:p w14:paraId="33A57F57" w14:textId="77777777" w:rsidR="00D84031" w:rsidRDefault="007965BB">
      <w:r>
        <w:rPr>
          <w:color w:val="000000"/>
        </w:rPr>
        <w:t>From its side, the European social model is the basis of the still high level of productivity and competitiveness in the EU, and without continuously upgrading it and sustaining it, there is a risk of a series of negative consequences, ranging from an increase in poverty, to a deterioration of human capital and a decline in well-being.</w:t>
      </w:r>
    </w:p>
    <w:p w14:paraId="6F130A57" w14:textId="77777777" w:rsidR="00D84031" w:rsidRDefault="007965BB">
      <w:r>
        <w:rPr>
          <w:color w:val="000000"/>
        </w:rPr>
        <w:t xml:space="preserve">Research carried out should lead to recommendations to help Europe remain a world power through a high level of welfare, competitiveness and productivity, while analysing the tensions and opportunities created by the strengthening of the European social model and sustainable competitiveness through productivity. Proposals should look into possible opportunities and tensions between driving competitiveness, maintaining Europe’s social model and high environmental standards. </w:t>
      </w:r>
    </w:p>
    <w:p w14:paraId="48808E5C" w14:textId="77777777" w:rsidR="00D84031" w:rsidRDefault="007965BB">
      <w:r>
        <w:rPr>
          <w:color w:val="000000"/>
        </w:rPr>
        <w:t>Clustering and cooperation among selected projects under this call topic and collaboration with the Social Transformations and Resilience partnership are strongly encouraged.</w:t>
      </w:r>
    </w:p>
    <w:p w14:paraId="06E248DA" w14:textId="77777777" w:rsidR="00D84031" w:rsidRDefault="007965BB">
      <w:pPr>
        <w:pStyle w:val="HeadingThree"/>
      </w:pPr>
      <w:r>
        <w:t xml:space="preserve">HORIZON-CL2-2026-01-TRANSFO-03: Tackling child poverty and ensuring disadvantaged children's access to Early Childhood Education and Care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398EDC16" w14:textId="77777777" w:rsidTr="00C62CF4">
        <w:tc>
          <w:tcPr>
            <w:tcW w:w="0" w:type="auto"/>
            <w:gridSpan w:val="2"/>
          </w:tcPr>
          <w:p w14:paraId="3211761D" w14:textId="77777777" w:rsidR="00D84031" w:rsidRDefault="007965BB">
            <w:pPr>
              <w:pStyle w:val="CellTextValue"/>
            </w:pPr>
            <w:r>
              <w:rPr>
                <w:b/>
              </w:rPr>
              <w:t>Call: Culture, Creativity and Inclusive Society 2026</w:t>
            </w:r>
          </w:p>
        </w:tc>
      </w:tr>
      <w:tr w:rsidR="00C62CF4" w14:paraId="4B1C2FEA" w14:textId="77777777" w:rsidTr="00C62CF4">
        <w:tc>
          <w:tcPr>
            <w:tcW w:w="0" w:type="auto"/>
            <w:gridSpan w:val="2"/>
          </w:tcPr>
          <w:p w14:paraId="389E0026" w14:textId="77777777" w:rsidR="00D84031" w:rsidRDefault="007965BB">
            <w:pPr>
              <w:pStyle w:val="CellTextValue"/>
            </w:pPr>
            <w:r>
              <w:rPr>
                <w:b/>
              </w:rPr>
              <w:t>Specific conditions</w:t>
            </w:r>
          </w:p>
        </w:tc>
      </w:tr>
      <w:tr w:rsidR="00D84031" w14:paraId="524B3546" w14:textId="77777777">
        <w:tc>
          <w:tcPr>
            <w:tcW w:w="0" w:type="auto"/>
          </w:tcPr>
          <w:p w14:paraId="13670CE9" w14:textId="77777777" w:rsidR="00D84031" w:rsidRDefault="007965BB">
            <w:pPr>
              <w:pStyle w:val="CellTextValue"/>
              <w:jc w:val="left"/>
            </w:pPr>
            <w:r>
              <w:rPr>
                <w:i/>
              </w:rPr>
              <w:t>Expected EU contribution per project</w:t>
            </w:r>
          </w:p>
        </w:tc>
        <w:tc>
          <w:tcPr>
            <w:tcW w:w="0" w:type="auto"/>
          </w:tcPr>
          <w:p w14:paraId="73670582" w14:textId="77777777" w:rsidR="00D84031" w:rsidRDefault="007965BB">
            <w:pPr>
              <w:pStyle w:val="CellTextValue"/>
            </w:pPr>
            <w:r>
              <w:t>The Commission estimates that an EU contribution of between EUR 3.00 and 4.00 million would allow these outcomes to be addressed appropriately. Nonetheless, this does not preclude submission and selection of a proposal requesting different amounts.</w:t>
            </w:r>
          </w:p>
        </w:tc>
      </w:tr>
      <w:tr w:rsidR="00D84031" w14:paraId="4D75AEE0" w14:textId="77777777">
        <w:tc>
          <w:tcPr>
            <w:tcW w:w="0" w:type="auto"/>
          </w:tcPr>
          <w:p w14:paraId="2A47B1BF" w14:textId="77777777" w:rsidR="00D84031" w:rsidRDefault="007965BB">
            <w:pPr>
              <w:pStyle w:val="CellTextValue"/>
              <w:jc w:val="left"/>
            </w:pPr>
            <w:r>
              <w:rPr>
                <w:i/>
              </w:rPr>
              <w:t>Indicative budget</w:t>
            </w:r>
          </w:p>
        </w:tc>
        <w:tc>
          <w:tcPr>
            <w:tcW w:w="0" w:type="auto"/>
          </w:tcPr>
          <w:p w14:paraId="1B7AB4C5" w14:textId="77777777" w:rsidR="00D84031" w:rsidRDefault="007965BB">
            <w:pPr>
              <w:pStyle w:val="CellTextValue"/>
            </w:pPr>
            <w:r>
              <w:t>The total indicative budget for the topic is EUR 12.00 million.</w:t>
            </w:r>
          </w:p>
        </w:tc>
      </w:tr>
      <w:tr w:rsidR="00D84031" w14:paraId="412D7513" w14:textId="77777777">
        <w:tc>
          <w:tcPr>
            <w:tcW w:w="0" w:type="auto"/>
          </w:tcPr>
          <w:p w14:paraId="36C2A1E4" w14:textId="77777777" w:rsidR="00D84031" w:rsidRDefault="007965BB">
            <w:pPr>
              <w:pStyle w:val="CellTextValue"/>
              <w:jc w:val="left"/>
            </w:pPr>
            <w:r>
              <w:rPr>
                <w:i/>
              </w:rPr>
              <w:t xml:space="preserve">Type </w:t>
            </w:r>
            <w:r>
              <w:rPr>
                <w:i/>
              </w:rPr>
              <w:t>of Action</w:t>
            </w:r>
          </w:p>
        </w:tc>
        <w:tc>
          <w:tcPr>
            <w:tcW w:w="0" w:type="auto"/>
          </w:tcPr>
          <w:p w14:paraId="63C96B7D" w14:textId="77777777" w:rsidR="00D84031" w:rsidRDefault="007965BB">
            <w:pPr>
              <w:pStyle w:val="CellTextValue"/>
            </w:pPr>
            <w:r>
              <w:rPr>
                <w:color w:val="000000"/>
              </w:rPr>
              <w:t>Research and Innovation Actions</w:t>
            </w:r>
          </w:p>
        </w:tc>
      </w:tr>
      <w:tr w:rsidR="00D84031" w14:paraId="111F3803" w14:textId="77777777">
        <w:tc>
          <w:tcPr>
            <w:tcW w:w="0" w:type="auto"/>
          </w:tcPr>
          <w:p w14:paraId="07F12B81" w14:textId="77777777" w:rsidR="00D84031" w:rsidRDefault="007965BB">
            <w:pPr>
              <w:pStyle w:val="CellTextValue"/>
              <w:jc w:val="left"/>
            </w:pPr>
            <w:r>
              <w:rPr>
                <w:i/>
              </w:rPr>
              <w:t>Legal and financial set-up of the Grant Agreements</w:t>
            </w:r>
          </w:p>
        </w:tc>
        <w:tc>
          <w:tcPr>
            <w:tcW w:w="0" w:type="auto"/>
          </w:tcPr>
          <w:p w14:paraId="4A1E9FEC" w14:textId="77777777" w:rsidR="00D84031" w:rsidRDefault="007965BB">
            <w:pPr>
              <w:pStyle w:val="CellTextValue"/>
            </w:pPr>
            <w:r>
              <w:rPr>
                <w:color w:val="000000"/>
              </w:rPr>
              <w:t>The rules are described in General Annex G. The following exceptions apply:</w:t>
            </w:r>
          </w:p>
          <w:p w14:paraId="13E9F315" w14:textId="77777777" w:rsidR="00D84031" w:rsidRDefault="007965BB">
            <w:pPr>
              <w:pStyle w:val="CellTextValue"/>
            </w:pPr>
            <w:r>
              <w:rPr>
                <w:color w:val="000000"/>
              </w:rPr>
              <w:t xml:space="preserve">Eligible costs will take the form of a lump sum as defined in the </w:t>
            </w:r>
            <w:r>
              <w:rPr>
                <w:color w:val="000000"/>
              </w:rPr>
              <w:lastRenderedPageBreak/>
              <w:t xml:space="preserve">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56"/>
            </w:r>
            <w:r>
              <w:rPr>
                <w:color w:val="000000"/>
              </w:rPr>
              <w:t>.</w:t>
            </w:r>
          </w:p>
        </w:tc>
      </w:tr>
    </w:tbl>
    <w:p w14:paraId="75B47439" w14:textId="77777777" w:rsidR="00D84031" w:rsidRDefault="00D84031">
      <w:pPr>
        <w:spacing w:after="0" w:line="150" w:lineRule="auto"/>
      </w:pPr>
    </w:p>
    <w:p w14:paraId="26DBA432" w14:textId="77777777" w:rsidR="00D84031" w:rsidRDefault="007965BB">
      <w:r>
        <w:rPr>
          <w:u w:val="single"/>
        </w:rPr>
        <w:t>Expected Outcome</w:t>
      </w:r>
      <w:r>
        <w:t xml:space="preserve">: </w:t>
      </w:r>
      <w:r>
        <w:rPr>
          <w:color w:val="000000"/>
        </w:rPr>
        <w:t>Projects should contribute to all of the following expected outcomes:</w:t>
      </w:r>
    </w:p>
    <w:p w14:paraId="5336E4CF" w14:textId="77777777" w:rsidR="00D84031" w:rsidRDefault="007965BB" w:rsidP="00C62CF4">
      <w:pPr>
        <w:pStyle w:val="ListParagraph"/>
        <w:numPr>
          <w:ilvl w:val="0"/>
          <w:numId w:val="66"/>
        </w:numPr>
      </w:pPr>
      <w:r>
        <w:rPr>
          <w:color w:val="000000"/>
        </w:rPr>
        <w:t xml:space="preserve">Policymakers gain insights into the cost of child poverty and the returns from securing access of disadvantaged children to quality Early Childhood </w:t>
      </w:r>
      <w:r>
        <w:rPr>
          <w:color w:val="000000"/>
        </w:rPr>
        <w:t>Education and Care (ECEC) in the EU.</w:t>
      </w:r>
    </w:p>
    <w:p w14:paraId="7BF4C072" w14:textId="77777777" w:rsidR="00D84031" w:rsidRDefault="007965BB" w:rsidP="00C62CF4">
      <w:pPr>
        <w:pStyle w:val="ListParagraph"/>
        <w:numPr>
          <w:ilvl w:val="0"/>
          <w:numId w:val="66"/>
        </w:numPr>
      </w:pPr>
      <w:r>
        <w:rPr>
          <w:color w:val="000000"/>
        </w:rPr>
        <w:t xml:space="preserve">Policymakers receive operational advice on ways to reduce this cost and support participation of disadvantaged children in quality ECEC to close the gap with other children in the EU.  </w:t>
      </w:r>
    </w:p>
    <w:p w14:paraId="7787E127" w14:textId="77777777" w:rsidR="00D84031" w:rsidRDefault="007965BB">
      <w:r>
        <w:rPr>
          <w:u w:val="single"/>
        </w:rPr>
        <w:t>Scope</w:t>
      </w:r>
      <w:r>
        <w:t xml:space="preserve">: </w:t>
      </w:r>
      <w:r>
        <w:rPr>
          <w:color w:val="000000"/>
        </w:rPr>
        <w:t>Past studies researched the cost of child poverty, and the returns yielded by and ways to secure disadvantaged children’s participation to ECEC, yet their relevance to the current EU context is limited (i.e. most of them were conducted outside of the EU or they are now outdated). Producing EU-specific insights on these issues is the aim of this topic, which should help close the ECEC participation gap and improve social outcomes, in line with the European Pillar of Social Rights, while fostering fiscal su</w:t>
      </w:r>
      <w:r>
        <w:rPr>
          <w:color w:val="000000"/>
        </w:rPr>
        <w:t>stainability and inclusive growth.</w:t>
      </w:r>
    </w:p>
    <w:p w14:paraId="32D58C3B" w14:textId="77777777" w:rsidR="00D84031" w:rsidRDefault="007965BB">
      <w:r>
        <w:rPr>
          <w:color w:val="000000"/>
        </w:rPr>
        <w:t>The proposals may:</w:t>
      </w:r>
    </w:p>
    <w:p w14:paraId="45717F09" w14:textId="77777777" w:rsidR="00D84031" w:rsidRDefault="007965BB" w:rsidP="00C62CF4">
      <w:pPr>
        <w:pStyle w:val="ListParagraph"/>
        <w:numPr>
          <w:ilvl w:val="0"/>
          <w:numId w:val="67"/>
        </w:numPr>
      </w:pPr>
      <w:r>
        <w:rPr>
          <w:color w:val="000000"/>
        </w:rPr>
        <w:t xml:space="preserve">Define disadvantaged children, by going beyond monetary aspects of disadvantages, building on the EU’s concept of risk of poverty or social exclusion, and taking into account systemically marginalised groups. </w:t>
      </w:r>
    </w:p>
    <w:p w14:paraId="2E2360AD" w14:textId="77777777" w:rsidR="00D84031" w:rsidRDefault="007965BB" w:rsidP="00C62CF4">
      <w:pPr>
        <w:pStyle w:val="ListParagraph"/>
        <w:numPr>
          <w:ilvl w:val="0"/>
          <w:numId w:val="67"/>
        </w:numPr>
      </w:pPr>
      <w:r>
        <w:rPr>
          <w:color w:val="000000"/>
        </w:rPr>
        <w:t xml:space="preserve">Estimate the cost of child poverty and the returns yielded by participation to quality ECEC by taking into account:       </w:t>
      </w:r>
    </w:p>
    <w:p w14:paraId="1E408F9C" w14:textId="77777777" w:rsidR="00D84031" w:rsidRDefault="007965BB" w:rsidP="00C62CF4">
      <w:pPr>
        <w:pStyle w:val="ListParagraph"/>
        <w:numPr>
          <w:ilvl w:val="1"/>
          <w:numId w:val="67"/>
        </w:numPr>
      </w:pPr>
      <w:r>
        <w:rPr>
          <w:color w:val="000000"/>
        </w:rPr>
        <w:t xml:space="preserve">children’s needs and effective benefits targeting them,   </w:t>
      </w:r>
    </w:p>
    <w:p w14:paraId="2DD22771" w14:textId="77777777" w:rsidR="00D84031" w:rsidRDefault="007965BB" w:rsidP="00C62CF4">
      <w:pPr>
        <w:pStyle w:val="ListParagraph"/>
        <w:numPr>
          <w:ilvl w:val="1"/>
          <w:numId w:val="67"/>
        </w:numPr>
      </w:pPr>
      <w:r>
        <w:rPr>
          <w:color w:val="000000"/>
        </w:rPr>
        <w:t xml:space="preserve">the short and longer-term costs/returns,    </w:t>
      </w:r>
    </w:p>
    <w:p w14:paraId="723FF6BC" w14:textId="77777777" w:rsidR="00D84031" w:rsidRDefault="007965BB" w:rsidP="00C62CF4">
      <w:pPr>
        <w:pStyle w:val="ListParagraph"/>
        <w:numPr>
          <w:ilvl w:val="1"/>
          <w:numId w:val="67"/>
        </w:numPr>
      </w:pPr>
      <w:r>
        <w:rPr>
          <w:color w:val="000000"/>
        </w:rPr>
        <w:t xml:space="preserve">the economic, social, wellbeing and educational aspects of these costs/returns,    </w:t>
      </w:r>
    </w:p>
    <w:p w14:paraId="1AE97E97" w14:textId="77777777" w:rsidR="00D84031" w:rsidRDefault="007965BB" w:rsidP="00C62CF4">
      <w:pPr>
        <w:pStyle w:val="ListParagraph"/>
        <w:numPr>
          <w:ilvl w:val="1"/>
          <w:numId w:val="67"/>
        </w:numPr>
      </w:pPr>
      <w:r>
        <w:rPr>
          <w:color w:val="000000"/>
        </w:rPr>
        <w:t xml:space="preserve">children’s, parents’ and aggregate outcomes.   </w:t>
      </w:r>
    </w:p>
    <w:p w14:paraId="0AAA16BD" w14:textId="77777777" w:rsidR="00D84031" w:rsidRDefault="007965BB" w:rsidP="00C62CF4">
      <w:pPr>
        <w:pStyle w:val="ListParagraph"/>
        <w:numPr>
          <w:ilvl w:val="0"/>
          <w:numId w:val="67"/>
        </w:numPr>
      </w:pPr>
      <w:r>
        <w:rPr>
          <w:color w:val="000000"/>
        </w:rPr>
        <w:t>Investigate barriers preventing disadvantaged children from accessing quality ECEC.</w:t>
      </w:r>
    </w:p>
    <w:p w14:paraId="3A3706C2" w14:textId="77777777" w:rsidR="00D84031" w:rsidRDefault="007965BB" w:rsidP="00C62CF4">
      <w:pPr>
        <w:pStyle w:val="ListParagraph"/>
        <w:numPr>
          <w:ilvl w:val="0"/>
          <w:numId w:val="67"/>
        </w:numPr>
      </w:pPr>
      <w:r>
        <w:rPr>
          <w:color w:val="000000"/>
        </w:rPr>
        <w:t>Provide a mapping of the most efficient policies to reduce child poverty cost, comparing ECEC policies’ value for money with other policies.</w:t>
      </w:r>
    </w:p>
    <w:p w14:paraId="6C0B1FDC" w14:textId="77777777" w:rsidR="00D84031" w:rsidRDefault="007965BB" w:rsidP="00C62CF4">
      <w:pPr>
        <w:pStyle w:val="ListParagraph"/>
        <w:numPr>
          <w:ilvl w:val="0"/>
          <w:numId w:val="67"/>
        </w:numPr>
      </w:pPr>
      <w:r>
        <w:rPr>
          <w:color w:val="000000"/>
        </w:rPr>
        <w:lastRenderedPageBreak/>
        <w:t xml:space="preserve">Develop evidence-based and operational policy advice, including ways to better account for these costs/returns in policymaking and good (established or innovative) practices to close the ECEC participation gap. Scalability of these practices may be addressed. </w:t>
      </w:r>
    </w:p>
    <w:p w14:paraId="01D21D88" w14:textId="77777777" w:rsidR="00D84031" w:rsidRDefault="007965BB" w:rsidP="00C62CF4">
      <w:pPr>
        <w:pStyle w:val="ListParagraph"/>
        <w:numPr>
          <w:ilvl w:val="0"/>
          <w:numId w:val="67"/>
        </w:numPr>
      </w:pPr>
      <w:r>
        <w:rPr>
          <w:color w:val="000000"/>
        </w:rPr>
        <w:t xml:space="preserve">Use research methodologies of relevance (qualitative and quantitative, including experimental ones), building on multidisciplinary insights, and either make use of existing datasets (including administrative datasets), or collect new data. Experts by experience (i.e. vulnerable children and parents) may be involved. </w:t>
      </w:r>
    </w:p>
    <w:p w14:paraId="74C39F61" w14:textId="77777777" w:rsidR="00D84031" w:rsidRDefault="007965BB">
      <w:pPr>
        <w:pStyle w:val="HeadingThree"/>
      </w:pPr>
      <w:r>
        <w:t>HORIZON-CL2-2026-01-TRANSFO-04: The impact of the use of digital tools outside school and for communication on educational outcomes and mental health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70097D3C" w14:textId="77777777" w:rsidTr="00C62CF4">
        <w:tc>
          <w:tcPr>
            <w:tcW w:w="0" w:type="auto"/>
            <w:gridSpan w:val="2"/>
          </w:tcPr>
          <w:p w14:paraId="0FC63631" w14:textId="77777777" w:rsidR="00D84031" w:rsidRDefault="007965BB">
            <w:pPr>
              <w:pStyle w:val="CellTextValue"/>
            </w:pPr>
            <w:r>
              <w:rPr>
                <w:b/>
              </w:rPr>
              <w:t>Call: Culture, Creativity and Inclusive Society 2026</w:t>
            </w:r>
          </w:p>
        </w:tc>
      </w:tr>
      <w:tr w:rsidR="00C62CF4" w14:paraId="38C413ED" w14:textId="77777777" w:rsidTr="00C62CF4">
        <w:tc>
          <w:tcPr>
            <w:tcW w:w="0" w:type="auto"/>
            <w:gridSpan w:val="2"/>
          </w:tcPr>
          <w:p w14:paraId="37165BE9" w14:textId="77777777" w:rsidR="00D84031" w:rsidRDefault="007965BB">
            <w:pPr>
              <w:pStyle w:val="CellTextValue"/>
            </w:pPr>
            <w:r>
              <w:rPr>
                <w:b/>
              </w:rPr>
              <w:t>Specific conditions</w:t>
            </w:r>
          </w:p>
        </w:tc>
      </w:tr>
      <w:tr w:rsidR="00D84031" w14:paraId="5ACC4D00" w14:textId="77777777">
        <w:tc>
          <w:tcPr>
            <w:tcW w:w="0" w:type="auto"/>
          </w:tcPr>
          <w:p w14:paraId="553D4AA1" w14:textId="77777777" w:rsidR="00D84031" w:rsidRDefault="007965BB">
            <w:pPr>
              <w:pStyle w:val="CellTextValue"/>
              <w:jc w:val="left"/>
            </w:pPr>
            <w:r>
              <w:rPr>
                <w:i/>
              </w:rPr>
              <w:t>Expected EU contribution per project</w:t>
            </w:r>
          </w:p>
        </w:tc>
        <w:tc>
          <w:tcPr>
            <w:tcW w:w="0" w:type="auto"/>
          </w:tcPr>
          <w:p w14:paraId="2B64F308" w14:textId="77777777" w:rsidR="00D84031" w:rsidRDefault="007965BB">
            <w:pPr>
              <w:pStyle w:val="CellTextValue"/>
            </w:pPr>
            <w:r>
              <w:t xml:space="preserve">The Commission estimates that an EU contribution of between EUR 3.00 and 4.00 million would allow these outcomes to be addressed </w:t>
            </w:r>
            <w:r>
              <w:t>appropriately. Nonetheless, this does not preclude submission and selection of a proposal requesting different amounts.</w:t>
            </w:r>
          </w:p>
        </w:tc>
      </w:tr>
      <w:tr w:rsidR="00D84031" w14:paraId="0F30E416" w14:textId="77777777">
        <w:tc>
          <w:tcPr>
            <w:tcW w:w="0" w:type="auto"/>
          </w:tcPr>
          <w:p w14:paraId="6AB2E3B2" w14:textId="77777777" w:rsidR="00D84031" w:rsidRDefault="007965BB">
            <w:pPr>
              <w:pStyle w:val="CellTextValue"/>
              <w:jc w:val="left"/>
            </w:pPr>
            <w:r>
              <w:rPr>
                <w:i/>
              </w:rPr>
              <w:t>Indicative budget</w:t>
            </w:r>
          </w:p>
        </w:tc>
        <w:tc>
          <w:tcPr>
            <w:tcW w:w="0" w:type="auto"/>
          </w:tcPr>
          <w:p w14:paraId="6BD616AD" w14:textId="77777777" w:rsidR="00D84031" w:rsidRDefault="007965BB">
            <w:pPr>
              <w:pStyle w:val="CellTextValue"/>
            </w:pPr>
            <w:r>
              <w:t>The total indicative budget for the topic is EUR 12.00 million.</w:t>
            </w:r>
          </w:p>
        </w:tc>
      </w:tr>
      <w:tr w:rsidR="00D84031" w14:paraId="5B4EABC7" w14:textId="77777777">
        <w:tc>
          <w:tcPr>
            <w:tcW w:w="0" w:type="auto"/>
          </w:tcPr>
          <w:p w14:paraId="61AACF92" w14:textId="77777777" w:rsidR="00D84031" w:rsidRDefault="007965BB">
            <w:pPr>
              <w:pStyle w:val="CellTextValue"/>
              <w:jc w:val="left"/>
            </w:pPr>
            <w:r>
              <w:rPr>
                <w:i/>
              </w:rPr>
              <w:t>Type of Action</w:t>
            </w:r>
          </w:p>
        </w:tc>
        <w:tc>
          <w:tcPr>
            <w:tcW w:w="0" w:type="auto"/>
          </w:tcPr>
          <w:p w14:paraId="70E9FAFD" w14:textId="77777777" w:rsidR="00D84031" w:rsidRDefault="007965BB">
            <w:pPr>
              <w:pStyle w:val="CellTextValue"/>
            </w:pPr>
            <w:r>
              <w:rPr>
                <w:color w:val="000000"/>
              </w:rPr>
              <w:t>Research and Innovation Actions</w:t>
            </w:r>
          </w:p>
        </w:tc>
      </w:tr>
      <w:tr w:rsidR="00D84031" w14:paraId="01C07724" w14:textId="77777777">
        <w:tc>
          <w:tcPr>
            <w:tcW w:w="0" w:type="auto"/>
          </w:tcPr>
          <w:p w14:paraId="7420D279" w14:textId="77777777" w:rsidR="00D84031" w:rsidRDefault="007965BB">
            <w:pPr>
              <w:pStyle w:val="CellTextValue"/>
              <w:jc w:val="left"/>
            </w:pPr>
            <w:r>
              <w:rPr>
                <w:i/>
              </w:rPr>
              <w:t>Legal and financial set-up of the Grant Agreements</w:t>
            </w:r>
          </w:p>
        </w:tc>
        <w:tc>
          <w:tcPr>
            <w:tcW w:w="0" w:type="auto"/>
          </w:tcPr>
          <w:p w14:paraId="2A375C5A" w14:textId="77777777" w:rsidR="00D84031" w:rsidRDefault="007965BB">
            <w:pPr>
              <w:pStyle w:val="CellTextValue"/>
            </w:pPr>
            <w:r>
              <w:rPr>
                <w:color w:val="000000"/>
              </w:rPr>
              <w:t>The rules are described in General Annex G. The following exceptions apply:</w:t>
            </w:r>
          </w:p>
          <w:p w14:paraId="28DEADDB"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57"/>
            </w:r>
            <w:r>
              <w:rPr>
                <w:color w:val="000000"/>
              </w:rPr>
              <w:t>.</w:t>
            </w:r>
          </w:p>
        </w:tc>
      </w:tr>
    </w:tbl>
    <w:p w14:paraId="4FA7459E" w14:textId="77777777" w:rsidR="00D84031" w:rsidRDefault="00D84031">
      <w:pPr>
        <w:spacing w:after="0" w:line="150" w:lineRule="auto"/>
      </w:pPr>
    </w:p>
    <w:p w14:paraId="5F269850" w14:textId="77777777" w:rsidR="00D84031" w:rsidRDefault="007965BB">
      <w:r>
        <w:rPr>
          <w:u w:val="single"/>
        </w:rPr>
        <w:t>Expected Outcome</w:t>
      </w:r>
      <w:r>
        <w:t xml:space="preserve">: </w:t>
      </w:r>
      <w:r>
        <w:rPr>
          <w:color w:val="000000"/>
        </w:rPr>
        <w:t>Projects should contribute to all of the following expected outcomes:</w:t>
      </w:r>
    </w:p>
    <w:p w14:paraId="66AE24B4" w14:textId="77777777" w:rsidR="00D84031" w:rsidRDefault="007965BB" w:rsidP="00C62CF4">
      <w:pPr>
        <w:pStyle w:val="ListParagraph"/>
        <w:numPr>
          <w:ilvl w:val="0"/>
          <w:numId w:val="68"/>
        </w:numPr>
      </w:pPr>
      <w:r>
        <w:rPr>
          <w:color w:val="000000"/>
        </w:rPr>
        <w:t>Provide policymakers, education practitioners and citizens with a solid understanding of how social media, video gaming and other leisure uses of digital tools relate to the educational outcomes of young people, including through their impact on well-being and mental health.</w:t>
      </w:r>
    </w:p>
    <w:p w14:paraId="41C2FFF5" w14:textId="77777777" w:rsidR="00D84031" w:rsidRDefault="007965BB" w:rsidP="00C62CF4">
      <w:pPr>
        <w:pStyle w:val="ListParagraph"/>
        <w:numPr>
          <w:ilvl w:val="0"/>
          <w:numId w:val="68"/>
        </w:numPr>
      </w:pPr>
      <w:r>
        <w:rPr>
          <w:color w:val="000000"/>
        </w:rPr>
        <w:lastRenderedPageBreak/>
        <w:t>Generate rigorous, policy-relevant evidence about policies and practices aiming to inform and regulate young people’s use of digital tools for non-educational purposes, such as smartphones, at school.</w:t>
      </w:r>
    </w:p>
    <w:p w14:paraId="70E2296D" w14:textId="77777777" w:rsidR="00D84031" w:rsidRDefault="007965BB" w:rsidP="00C62CF4">
      <w:pPr>
        <w:pStyle w:val="ListParagraph"/>
        <w:numPr>
          <w:ilvl w:val="0"/>
          <w:numId w:val="68"/>
        </w:numPr>
      </w:pPr>
      <w:r>
        <w:rPr>
          <w:color w:val="000000"/>
        </w:rPr>
        <w:t>Develop actionable advice for policymakers and citizens about how to promote young people’s healthy use of digital tools for leisure, both at school and outside school.</w:t>
      </w:r>
    </w:p>
    <w:p w14:paraId="2F5C291E" w14:textId="77777777" w:rsidR="00D84031" w:rsidRDefault="007965BB" w:rsidP="00C62CF4">
      <w:pPr>
        <w:pStyle w:val="ListParagraph"/>
        <w:numPr>
          <w:ilvl w:val="0"/>
          <w:numId w:val="68"/>
        </w:numPr>
      </w:pPr>
      <w:r>
        <w:rPr>
          <w:color w:val="000000"/>
        </w:rPr>
        <w:t xml:space="preserve">Describe and quantify the relationships of using digital tools for leisure and communication with students’ motivation, study habits, attention span and concentration, time management, engagement, social integration and overall well-being.  </w:t>
      </w:r>
    </w:p>
    <w:p w14:paraId="7DA23ABD" w14:textId="77777777" w:rsidR="00D84031" w:rsidRDefault="007965BB">
      <w:r>
        <w:rPr>
          <w:u w:val="single"/>
        </w:rPr>
        <w:t>Scope</w:t>
      </w:r>
      <w:r>
        <w:t xml:space="preserve">: </w:t>
      </w:r>
      <w:r>
        <w:rPr>
          <w:color w:val="000000"/>
        </w:rPr>
        <w:t>The increasing prevalence of digital devices in young people’s life has raised concerns about the potential impacts of the use of digital tools for leisure and communication on primary-, secondary- and higher education students’ well-being and educational outcomes. “Digital distraction” is emerging as a potential threat to academic performance and several countries have started to regulate the use of smartphones at school.</w:t>
      </w:r>
    </w:p>
    <w:p w14:paraId="53B45281" w14:textId="77777777" w:rsidR="00D84031" w:rsidRDefault="007965BB">
      <w:r>
        <w:rPr>
          <w:color w:val="000000"/>
        </w:rPr>
        <w:t>There is still limited evidence on the interrelation between the use of digital tools for leisure in-school or out-of-school and educational performance, in both primary and secondary education, because most of the existing literature is purely correlational, or only focuses on effects on well-being. Moreover, most existing research is from extra-EU contexts, which limits the transferability of findings to EU education and training systems.</w:t>
      </w:r>
    </w:p>
    <w:p w14:paraId="47CE03CB" w14:textId="77777777" w:rsidR="00D84031" w:rsidRDefault="007965BB">
      <w:r>
        <w:rPr>
          <w:color w:val="000000"/>
        </w:rPr>
        <w:t>Several interrelated research questions remain to be addressed, such as:</w:t>
      </w:r>
    </w:p>
    <w:p w14:paraId="45744FEC" w14:textId="77777777" w:rsidR="00D84031" w:rsidRDefault="007965BB" w:rsidP="00C62CF4">
      <w:pPr>
        <w:pStyle w:val="ListParagraph"/>
        <w:numPr>
          <w:ilvl w:val="0"/>
          <w:numId w:val="69"/>
        </w:numPr>
      </w:pPr>
      <w:r>
        <w:rPr>
          <w:color w:val="000000"/>
        </w:rPr>
        <w:t>Which types of digital device use do pupils perform during school and do their digital activities differ depending on different contexts (i.e., during class, during breaks or between classes)?</w:t>
      </w:r>
    </w:p>
    <w:p w14:paraId="1A2AEE06" w14:textId="77777777" w:rsidR="00D84031" w:rsidRDefault="007965BB" w:rsidP="00C62CF4">
      <w:pPr>
        <w:pStyle w:val="ListParagraph"/>
        <w:numPr>
          <w:ilvl w:val="0"/>
          <w:numId w:val="69"/>
        </w:numPr>
      </w:pPr>
      <w:r>
        <w:rPr>
          <w:color w:val="000000"/>
        </w:rPr>
        <w:t>How do different activities (e.g. playing games vs. chatting with a parent), on different devices, with different time durations of use, relate to students’ attention span and concentration as well as general school motivation?</w:t>
      </w:r>
    </w:p>
    <w:p w14:paraId="7BFA151F" w14:textId="77777777" w:rsidR="00D84031" w:rsidRDefault="007965BB" w:rsidP="00C62CF4">
      <w:pPr>
        <w:pStyle w:val="ListParagraph"/>
        <w:numPr>
          <w:ilvl w:val="0"/>
          <w:numId w:val="69"/>
        </w:numPr>
      </w:pPr>
      <w:r>
        <w:rPr>
          <w:color w:val="000000"/>
        </w:rPr>
        <w:t>How does frequent smartphone, social media use and other online leisure activities (such as video games) impact students’ attention span and concentration?</w:t>
      </w:r>
    </w:p>
    <w:p w14:paraId="44094843" w14:textId="77777777" w:rsidR="00D84031" w:rsidRDefault="007965BB" w:rsidP="00C62CF4">
      <w:pPr>
        <w:pStyle w:val="ListParagraph"/>
        <w:numPr>
          <w:ilvl w:val="0"/>
          <w:numId w:val="69"/>
        </w:numPr>
      </w:pPr>
      <w:r>
        <w:rPr>
          <w:color w:val="000000"/>
        </w:rPr>
        <w:t>To what extent is the impact of digital tools for leisure on academic performance mediated by students’ well-being?</w:t>
      </w:r>
    </w:p>
    <w:p w14:paraId="332611E0" w14:textId="77777777" w:rsidR="00D84031" w:rsidRDefault="007965BB" w:rsidP="00C62CF4">
      <w:pPr>
        <w:pStyle w:val="ListParagraph"/>
        <w:numPr>
          <w:ilvl w:val="0"/>
          <w:numId w:val="69"/>
        </w:numPr>
      </w:pPr>
      <w:r>
        <w:rPr>
          <w:color w:val="000000"/>
        </w:rPr>
        <w:t>How can schools, educators and parents balance the use of those tools to enhance, rather than hinder, educational performance and students’ well-being?</w:t>
      </w:r>
    </w:p>
    <w:p w14:paraId="5688888E" w14:textId="77777777" w:rsidR="00D84031" w:rsidRDefault="007965BB" w:rsidP="00C62CF4">
      <w:pPr>
        <w:pStyle w:val="ListParagraph"/>
        <w:numPr>
          <w:ilvl w:val="0"/>
          <w:numId w:val="69"/>
        </w:numPr>
      </w:pPr>
      <w:r>
        <w:rPr>
          <w:color w:val="000000"/>
        </w:rPr>
        <w:t xml:space="preserve">What is </w:t>
      </w:r>
      <w:r>
        <w:rPr>
          <w:color w:val="000000"/>
        </w:rPr>
        <w:t>the potential for addiction when using digital tools and what are the decisive factors for this on the part of the design of tools on the one hand and on the part of the users on the other?</w:t>
      </w:r>
    </w:p>
    <w:p w14:paraId="4EEB82AE" w14:textId="77777777" w:rsidR="00D84031" w:rsidRDefault="007965BB" w:rsidP="00C62CF4">
      <w:pPr>
        <w:pStyle w:val="ListParagraph"/>
        <w:numPr>
          <w:ilvl w:val="0"/>
          <w:numId w:val="69"/>
        </w:numPr>
      </w:pPr>
      <w:r>
        <w:rPr>
          <w:color w:val="000000"/>
        </w:rPr>
        <w:t>How can digital leisure activities contribute to skills development, such as problem-solving and digital literacy and what is the transferability of these skills into education?</w:t>
      </w:r>
    </w:p>
    <w:p w14:paraId="3C0137E9" w14:textId="77777777" w:rsidR="00D84031" w:rsidRDefault="007965BB" w:rsidP="00C62CF4">
      <w:pPr>
        <w:pStyle w:val="ListParagraph"/>
        <w:numPr>
          <w:ilvl w:val="0"/>
          <w:numId w:val="69"/>
        </w:numPr>
      </w:pPr>
      <w:r>
        <w:rPr>
          <w:color w:val="000000"/>
        </w:rPr>
        <w:lastRenderedPageBreak/>
        <w:t xml:space="preserve">What is the role of parents and educators in guiding digital leisure activities? Explore parental digital literacy and its impact on the use of digital devices by the youth. </w:t>
      </w:r>
    </w:p>
    <w:p w14:paraId="15CAB24D" w14:textId="77777777" w:rsidR="00D84031" w:rsidRDefault="007965BB">
      <w:r>
        <w:rPr>
          <w:color w:val="000000"/>
        </w:rPr>
        <w:t>Proposals should explore the complex, context-dependent ways in which different forms of digital leisure affect attention, motivation, creativity, learning habits, critical thinking, and socio-emotional skills. They should consider variations across age groups, socio-economic backgrounds, cultural contexts, and types of digital engagement.</w:t>
      </w:r>
    </w:p>
    <w:p w14:paraId="1C26E07C" w14:textId="77777777" w:rsidR="00D84031" w:rsidRDefault="007965BB">
      <w:r>
        <w:rPr>
          <w:color w:val="000000"/>
        </w:rPr>
        <w:t>Proposals should apply rigorous experimental and/or quasi-experimental methods for their analysis and could complement them with experience sampling research, survey research methods and qualitative research methods. Close cooperation with educational authorities, educational institutions and educators in analysing existing policies and practices is essential. Proposals should also include the opinions of young people and other relevant stakeholders, such as media literacy organisations, for example, in the</w:t>
      </w:r>
      <w:r>
        <w:rPr>
          <w:color w:val="000000"/>
        </w:rPr>
        <w:t xml:space="preserve"> form surveys, interviews, consultations, as part of the data collection. Proposals could apply interdisciplinary approaches, combining insights from economics, sociology, neurosciences, communication science (media psychology) and pedagogy. Clustering and cooperation with other selected projects under this call and other relevant projects are strongly encouraged.</w:t>
      </w:r>
    </w:p>
    <w:p w14:paraId="1A7EA47B" w14:textId="77777777" w:rsidR="00D84031" w:rsidRDefault="007965BB">
      <w:pPr>
        <w:pStyle w:val="HeadingThree"/>
      </w:pPr>
      <w:r>
        <w:t>HORIZON-CL2-2026-01-TRANSFO-05: Long-term contribution of basic skills to productivity, innovation, competitiveness and economic growth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4AA84B45" w14:textId="77777777" w:rsidTr="00C62CF4">
        <w:tc>
          <w:tcPr>
            <w:tcW w:w="0" w:type="auto"/>
            <w:gridSpan w:val="2"/>
          </w:tcPr>
          <w:p w14:paraId="0778B557" w14:textId="77777777" w:rsidR="00D84031" w:rsidRDefault="007965BB">
            <w:pPr>
              <w:pStyle w:val="CellTextValue"/>
            </w:pPr>
            <w:r>
              <w:rPr>
                <w:b/>
              </w:rPr>
              <w:t>Call: Culture, Creativity and Inclusive Society 2026</w:t>
            </w:r>
          </w:p>
        </w:tc>
      </w:tr>
      <w:tr w:rsidR="00C62CF4" w14:paraId="0A5BD4FF" w14:textId="77777777" w:rsidTr="00C62CF4">
        <w:tc>
          <w:tcPr>
            <w:tcW w:w="0" w:type="auto"/>
            <w:gridSpan w:val="2"/>
          </w:tcPr>
          <w:p w14:paraId="355C602C" w14:textId="77777777" w:rsidR="00D84031" w:rsidRDefault="007965BB">
            <w:pPr>
              <w:pStyle w:val="CellTextValue"/>
            </w:pPr>
            <w:r>
              <w:rPr>
                <w:b/>
              </w:rPr>
              <w:t>Specific conditions</w:t>
            </w:r>
          </w:p>
        </w:tc>
      </w:tr>
      <w:tr w:rsidR="00D84031" w14:paraId="39EB0C6F" w14:textId="77777777">
        <w:tc>
          <w:tcPr>
            <w:tcW w:w="0" w:type="auto"/>
          </w:tcPr>
          <w:p w14:paraId="0006E08E" w14:textId="77777777" w:rsidR="00D84031" w:rsidRDefault="007965BB">
            <w:pPr>
              <w:pStyle w:val="CellTextValue"/>
              <w:jc w:val="left"/>
            </w:pPr>
            <w:r>
              <w:rPr>
                <w:i/>
              </w:rPr>
              <w:t>Expected EU contribution per project</w:t>
            </w:r>
          </w:p>
        </w:tc>
        <w:tc>
          <w:tcPr>
            <w:tcW w:w="0" w:type="auto"/>
          </w:tcPr>
          <w:p w14:paraId="22E1579E" w14:textId="77777777" w:rsidR="00D84031" w:rsidRDefault="007965BB">
            <w:pPr>
              <w:pStyle w:val="CellTextValue"/>
            </w:pPr>
            <w:r>
              <w:t xml:space="preserve">The Commission estimates that an </w:t>
            </w:r>
            <w:r>
              <w:t>EU contribution of between EUR 3.00 and 4.00 million would allow these outcomes to be addressed appropriately. Nonetheless, this does not preclude submission and selection of a proposal requesting different amounts.</w:t>
            </w:r>
          </w:p>
        </w:tc>
      </w:tr>
      <w:tr w:rsidR="00D84031" w14:paraId="651BABE3" w14:textId="77777777">
        <w:tc>
          <w:tcPr>
            <w:tcW w:w="0" w:type="auto"/>
          </w:tcPr>
          <w:p w14:paraId="0948E31B" w14:textId="77777777" w:rsidR="00D84031" w:rsidRDefault="007965BB">
            <w:pPr>
              <w:pStyle w:val="CellTextValue"/>
              <w:jc w:val="left"/>
            </w:pPr>
            <w:r>
              <w:rPr>
                <w:i/>
              </w:rPr>
              <w:t>Indicative budget</w:t>
            </w:r>
          </w:p>
        </w:tc>
        <w:tc>
          <w:tcPr>
            <w:tcW w:w="0" w:type="auto"/>
          </w:tcPr>
          <w:p w14:paraId="4C3D420C" w14:textId="77777777" w:rsidR="00D84031" w:rsidRDefault="007965BB">
            <w:pPr>
              <w:pStyle w:val="CellTextValue"/>
            </w:pPr>
            <w:r>
              <w:t>The total indicative budget for the topic is EUR 12.00 million.</w:t>
            </w:r>
          </w:p>
        </w:tc>
      </w:tr>
      <w:tr w:rsidR="00D84031" w14:paraId="5569144D" w14:textId="77777777">
        <w:tc>
          <w:tcPr>
            <w:tcW w:w="0" w:type="auto"/>
          </w:tcPr>
          <w:p w14:paraId="719E0206" w14:textId="77777777" w:rsidR="00D84031" w:rsidRDefault="007965BB">
            <w:pPr>
              <w:pStyle w:val="CellTextValue"/>
              <w:jc w:val="left"/>
            </w:pPr>
            <w:r>
              <w:rPr>
                <w:i/>
              </w:rPr>
              <w:t>Type of Action</w:t>
            </w:r>
          </w:p>
        </w:tc>
        <w:tc>
          <w:tcPr>
            <w:tcW w:w="0" w:type="auto"/>
          </w:tcPr>
          <w:p w14:paraId="55C082DC" w14:textId="77777777" w:rsidR="00D84031" w:rsidRDefault="007965BB">
            <w:pPr>
              <w:pStyle w:val="CellTextValue"/>
            </w:pPr>
            <w:r>
              <w:rPr>
                <w:color w:val="000000"/>
              </w:rPr>
              <w:t>Research and Innovation Actions</w:t>
            </w:r>
          </w:p>
        </w:tc>
      </w:tr>
      <w:tr w:rsidR="00D84031" w14:paraId="345245F7" w14:textId="77777777">
        <w:tc>
          <w:tcPr>
            <w:tcW w:w="0" w:type="auto"/>
          </w:tcPr>
          <w:p w14:paraId="3B3CBAC5" w14:textId="77777777" w:rsidR="00D84031" w:rsidRDefault="007965BB">
            <w:pPr>
              <w:pStyle w:val="CellTextValue"/>
              <w:jc w:val="left"/>
            </w:pPr>
            <w:r>
              <w:rPr>
                <w:i/>
              </w:rPr>
              <w:t>Legal and financial set-up of the Grant Agreements</w:t>
            </w:r>
          </w:p>
        </w:tc>
        <w:tc>
          <w:tcPr>
            <w:tcW w:w="0" w:type="auto"/>
          </w:tcPr>
          <w:p w14:paraId="23D5E784" w14:textId="77777777" w:rsidR="00D84031" w:rsidRDefault="007965BB">
            <w:pPr>
              <w:pStyle w:val="CellTextValue"/>
            </w:pPr>
            <w:r>
              <w:rPr>
                <w:color w:val="000000"/>
              </w:rPr>
              <w:t>The rules are described in General Annex G. The following exceptions apply:</w:t>
            </w:r>
          </w:p>
          <w:p w14:paraId="601F8586"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58"/>
            </w:r>
            <w:r>
              <w:rPr>
                <w:color w:val="000000"/>
              </w:rPr>
              <w:t>.</w:t>
            </w:r>
          </w:p>
        </w:tc>
      </w:tr>
    </w:tbl>
    <w:p w14:paraId="5352D7DE" w14:textId="77777777" w:rsidR="00D84031" w:rsidRDefault="00D84031">
      <w:pPr>
        <w:spacing w:after="0" w:line="150" w:lineRule="auto"/>
      </w:pPr>
    </w:p>
    <w:p w14:paraId="2C302FE6" w14:textId="77777777" w:rsidR="00D84031" w:rsidRDefault="007965BB">
      <w:r>
        <w:rPr>
          <w:u w:val="single"/>
        </w:rPr>
        <w:t>Expected Outcome</w:t>
      </w:r>
      <w:r>
        <w:t xml:space="preserve">: </w:t>
      </w:r>
      <w:r>
        <w:rPr>
          <w:color w:val="000000"/>
        </w:rPr>
        <w:t>Projects should contribute to all of the following expected outcomes:</w:t>
      </w:r>
    </w:p>
    <w:p w14:paraId="4FAA52A3" w14:textId="77777777" w:rsidR="00D84031" w:rsidRDefault="007965BB" w:rsidP="00C62CF4">
      <w:pPr>
        <w:pStyle w:val="ListParagraph"/>
        <w:numPr>
          <w:ilvl w:val="0"/>
          <w:numId w:val="70"/>
        </w:numPr>
      </w:pPr>
      <w:r>
        <w:rPr>
          <w:color w:val="000000"/>
        </w:rPr>
        <w:t>Provide policymakers with a solid understanding the long-term impact of basic skills on the economy, with a focus on growth, contribution to innovation and productivity to sustain EU competitiveness.</w:t>
      </w:r>
    </w:p>
    <w:p w14:paraId="54310703" w14:textId="77777777" w:rsidR="00D84031" w:rsidRDefault="007965BB" w:rsidP="00C62CF4">
      <w:pPr>
        <w:pStyle w:val="ListParagraph"/>
        <w:numPr>
          <w:ilvl w:val="0"/>
          <w:numId w:val="70"/>
        </w:numPr>
      </w:pPr>
      <w:r>
        <w:rPr>
          <w:color w:val="000000"/>
        </w:rPr>
        <w:t>Develop actionable advice about how education and training systems can help foster productivity in a lifelong perspective by reducing gender and socioeconomic gaps in basic skills.</w:t>
      </w:r>
    </w:p>
    <w:p w14:paraId="77E6E916" w14:textId="77777777" w:rsidR="00D84031" w:rsidRDefault="007965BB" w:rsidP="00C62CF4">
      <w:pPr>
        <w:pStyle w:val="ListParagraph"/>
        <w:numPr>
          <w:ilvl w:val="0"/>
          <w:numId w:val="70"/>
        </w:numPr>
      </w:pPr>
      <w:r>
        <w:rPr>
          <w:color w:val="000000"/>
        </w:rPr>
        <w:t xml:space="preserve">Develop actionable advice about how EU education and training systems can nurture the links between basic skills and other skills to promote productivity, innovation, competitiveness and growth.  </w:t>
      </w:r>
    </w:p>
    <w:p w14:paraId="7088D984" w14:textId="77777777" w:rsidR="00D84031" w:rsidRDefault="007965BB">
      <w:r>
        <w:rPr>
          <w:u w:val="single"/>
        </w:rPr>
        <w:t>Scope</w:t>
      </w:r>
      <w:r>
        <w:t xml:space="preserve">: </w:t>
      </w:r>
      <w:r>
        <w:rPr>
          <w:color w:val="000000"/>
        </w:rPr>
        <w:t>In the context of the Union of Skills, the 2025 European Commission’s Action Plan on Basic Skills identifies five basic skills: literacy, mathematics (including also financial literacy), science, digital and citizenship. Strong basic skill levels among young people and adults are key to sustaining EU productivity, innovation, competitiveness and growth, as also explained in the 2024 Draghi Report</w:t>
      </w:r>
      <w:r>
        <w:rPr>
          <w:vertAlign w:val="superscript"/>
        </w:rPr>
        <w:footnoteReference w:id="159"/>
      </w:r>
      <w:r>
        <w:rPr>
          <w:color w:val="000000"/>
        </w:rPr>
        <w:t>. Other key EU initiatives support lifelong learning as a driver for productivity, innovation, and economic growth. In particular, it would be relevant to mention the 2022 Council Recommendation encouraging the implementation of Individual Learning Accounts (ILAs) in Member States.</w:t>
      </w:r>
    </w:p>
    <w:p w14:paraId="4D0D85C7" w14:textId="77777777" w:rsidR="00D84031" w:rsidRDefault="007965BB">
      <w:r>
        <w:rPr>
          <w:color w:val="000000"/>
        </w:rPr>
        <w:t>Causal evidence on the economic impact of basic skills is still insufficient, both at microeconomic and macroeconomic levels, mostly due to limited use of longitudinal data. This also applies to the links between basic skills and other skills and disciplines (such as socio-emotional skills, and social sciences and humanities) to promote productivity, innovation, competitiveness and growth.</w:t>
      </w:r>
    </w:p>
    <w:p w14:paraId="1AD201A1" w14:textId="77777777" w:rsidR="00D84031" w:rsidRDefault="007965BB">
      <w:r>
        <w:rPr>
          <w:color w:val="000000"/>
        </w:rPr>
        <w:t>There is also a need for better evidence on which education and training policies and practices at all levels (school education, vocational education and training, higher education, adult education) can be effective in reducing gender and socioeconomic disparities in basic skill acquisition and in subsequent labour market outcomes. The research should also better explore the competences that learners need to learn effectively with AI-based tools. Additional evidence is required on how to increase female par</w:t>
      </w:r>
      <w:r>
        <w:rPr>
          <w:color w:val="000000"/>
        </w:rPr>
        <w:t>ticipation in STEM and how to address teacher shortages.</w:t>
      </w:r>
    </w:p>
    <w:p w14:paraId="05954B45" w14:textId="77777777" w:rsidR="00D84031" w:rsidRDefault="007965BB">
      <w:r>
        <w:rPr>
          <w:color w:val="000000"/>
        </w:rPr>
        <w:t>Proposals should address those research gaps by applying rigorous quantitative methods with a longitudinal perspective for their analysis and could complement them with qualitative research methods. Proposals should also evaluate the inclusion aspect, and the costs associated with the policies or practices analysed. Cooperation with education and training stakeholders is encouraged. Clustering and cooperation with other selected projects under the call HORIZON-CL2-2024-TRANSFORMATIONS-01-10: “Effective educ</w:t>
      </w:r>
      <w:r>
        <w:rPr>
          <w:color w:val="000000"/>
        </w:rPr>
        <w:t xml:space="preserve">ation and labour </w:t>
      </w:r>
      <w:r>
        <w:rPr>
          <w:color w:val="000000"/>
        </w:rPr>
        <w:lastRenderedPageBreak/>
        <w:t>market transitions of young people” and other relevant projects, as well as the Social Transformations and Resilience Partnership are strongly encouraged.</w:t>
      </w:r>
    </w:p>
    <w:p w14:paraId="4B753802" w14:textId="77777777" w:rsidR="00D84031" w:rsidRDefault="007965BB">
      <w:pPr>
        <w:pStyle w:val="HeadingThree"/>
      </w:pPr>
      <w:r>
        <w:t>HORIZON-CL2-2026-01-TRANSFO-06: Making Europe a global magnet for talent - Attracting and retaining students, researchers and high-skilled workers from outside the EU</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0EBBF3F2" w14:textId="77777777" w:rsidTr="00C62CF4">
        <w:tc>
          <w:tcPr>
            <w:tcW w:w="0" w:type="auto"/>
            <w:gridSpan w:val="2"/>
          </w:tcPr>
          <w:p w14:paraId="6AF2896E" w14:textId="77777777" w:rsidR="00D84031" w:rsidRDefault="007965BB">
            <w:pPr>
              <w:pStyle w:val="CellTextValue"/>
            </w:pPr>
            <w:r>
              <w:rPr>
                <w:b/>
              </w:rPr>
              <w:t>Call: Culture, Creativity and Inclusive Society 2026</w:t>
            </w:r>
          </w:p>
        </w:tc>
      </w:tr>
      <w:tr w:rsidR="00C62CF4" w14:paraId="3FDA3CC5" w14:textId="77777777" w:rsidTr="00C62CF4">
        <w:tc>
          <w:tcPr>
            <w:tcW w:w="0" w:type="auto"/>
            <w:gridSpan w:val="2"/>
          </w:tcPr>
          <w:p w14:paraId="5B8A49C7" w14:textId="77777777" w:rsidR="00D84031" w:rsidRDefault="007965BB">
            <w:pPr>
              <w:pStyle w:val="CellTextValue"/>
            </w:pPr>
            <w:r>
              <w:rPr>
                <w:b/>
              </w:rPr>
              <w:t>Specific conditions</w:t>
            </w:r>
          </w:p>
        </w:tc>
      </w:tr>
      <w:tr w:rsidR="00D84031" w14:paraId="6AD8E15C" w14:textId="77777777">
        <w:tc>
          <w:tcPr>
            <w:tcW w:w="0" w:type="auto"/>
          </w:tcPr>
          <w:p w14:paraId="325A3260" w14:textId="77777777" w:rsidR="00D84031" w:rsidRDefault="007965BB">
            <w:pPr>
              <w:pStyle w:val="CellTextValue"/>
              <w:jc w:val="left"/>
            </w:pPr>
            <w:r>
              <w:rPr>
                <w:i/>
              </w:rPr>
              <w:t>Expected EU contribution per project</w:t>
            </w:r>
          </w:p>
        </w:tc>
        <w:tc>
          <w:tcPr>
            <w:tcW w:w="0" w:type="auto"/>
          </w:tcPr>
          <w:p w14:paraId="494B5A6D" w14:textId="77777777" w:rsidR="00D84031" w:rsidRDefault="007965BB">
            <w:pPr>
              <w:pStyle w:val="CellTextValue"/>
            </w:pPr>
            <w:r>
              <w:t>The Commission estimates that an EU contribution of between EUR 3.00 and 3.30 million would allow these outcomes to be addressed appropriately. Nonetheless, this does not preclude submission and selection of a proposal requesting different amounts.</w:t>
            </w:r>
          </w:p>
        </w:tc>
      </w:tr>
      <w:tr w:rsidR="00D84031" w14:paraId="688FB274" w14:textId="77777777">
        <w:tc>
          <w:tcPr>
            <w:tcW w:w="0" w:type="auto"/>
          </w:tcPr>
          <w:p w14:paraId="1D4A777E" w14:textId="77777777" w:rsidR="00D84031" w:rsidRDefault="007965BB">
            <w:pPr>
              <w:pStyle w:val="CellTextValue"/>
              <w:jc w:val="left"/>
            </w:pPr>
            <w:r>
              <w:rPr>
                <w:i/>
              </w:rPr>
              <w:t>Indicative budget</w:t>
            </w:r>
          </w:p>
        </w:tc>
        <w:tc>
          <w:tcPr>
            <w:tcW w:w="0" w:type="auto"/>
          </w:tcPr>
          <w:p w14:paraId="4CD6D3FF" w14:textId="77777777" w:rsidR="00D84031" w:rsidRDefault="007965BB">
            <w:pPr>
              <w:pStyle w:val="CellTextValue"/>
            </w:pPr>
            <w:r>
              <w:t>The total indicative budget for the topic is EUR 10.00 million.</w:t>
            </w:r>
          </w:p>
        </w:tc>
      </w:tr>
      <w:tr w:rsidR="00D84031" w14:paraId="3CE8238C" w14:textId="77777777">
        <w:tc>
          <w:tcPr>
            <w:tcW w:w="0" w:type="auto"/>
          </w:tcPr>
          <w:p w14:paraId="6BBDFDA8" w14:textId="77777777" w:rsidR="00D84031" w:rsidRDefault="007965BB">
            <w:pPr>
              <w:pStyle w:val="CellTextValue"/>
              <w:jc w:val="left"/>
            </w:pPr>
            <w:r>
              <w:rPr>
                <w:i/>
              </w:rPr>
              <w:t>Type of Action</w:t>
            </w:r>
          </w:p>
        </w:tc>
        <w:tc>
          <w:tcPr>
            <w:tcW w:w="0" w:type="auto"/>
          </w:tcPr>
          <w:p w14:paraId="72B8F6FC" w14:textId="77777777" w:rsidR="00D84031" w:rsidRDefault="007965BB">
            <w:pPr>
              <w:pStyle w:val="CellTextValue"/>
            </w:pPr>
            <w:r>
              <w:rPr>
                <w:color w:val="000000"/>
              </w:rPr>
              <w:t>Research and Innovation Actions</w:t>
            </w:r>
          </w:p>
        </w:tc>
      </w:tr>
      <w:tr w:rsidR="00D84031" w14:paraId="79CC9D81" w14:textId="77777777">
        <w:tc>
          <w:tcPr>
            <w:tcW w:w="0" w:type="auto"/>
          </w:tcPr>
          <w:p w14:paraId="30A89165" w14:textId="77777777" w:rsidR="00D84031" w:rsidRDefault="007965BB">
            <w:pPr>
              <w:pStyle w:val="CellTextValue"/>
              <w:jc w:val="left"/>
            </w:pPr>
            <w:r>
              <w:rPr>
                <w:i/>
              </w:rPr>
              <w:t>Eligibility conditions</w:t>
            </w:r>
          </w:p>
        </w:tc>
        <w:tc>
          <w:tcPr>
            <w:tcW w:w="0" w:type="auto"/>
          </w:tcPr>
          <w:p w14:paraId="4DDE99DF" w14:textId="77777777" w:rsidR="00D84031" w:rsidRDefault="007965BB">
            <w:pPr>
              <w:pStyle w:val="CellTextValue"/>
            </w:pPr>
            <w:r>
              <w:rPr>
                <w:color w:val="000000"/>
              </w:rPr>
              <w:t xml:space="preserve">The conditions are described in General </w:t>
            </w:r>
            <w:r>
              <w:rPr>
                <w:color w:val="000000"/>
              </w:rPr>
              <w:t>Annex B. The following exceptions apply:</w:t>
            </w:r>
          </w:p>
          <w:p w14:paraId="6FC1D31B" w14:textId="77777777" w:rsidR="00D84031" w:rsidRDefault="007965BB">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D84031" w14:paraId="164DA024" w14:textId="77777777">
        <w:tc>
          <w:tcPr>
            <w:tcW w:w="0" w:type="auto"/>
          </w:tcPr>
          <w:p w14:paraId="39C350E1" w14:textId="77777777" w:rsidR="00D84031" w:rsidRDefault="007965BB">
            <w:pPr>
              <w:pStyle w:val="CellTextValue"/>
              <w:jc w:val="left"/>
            </w:pPr>
            <w:r>
              <w:rPr>
                <w:i/>
              </w:rPr>
              <w:t>Legal and financial set-up of the Grant Agreements</w:t>
            </w:r>
          </w:p>
        </w:tc>
        <w:tc>
          <w:tcPr>
            <w:tcW w:w="0" w:type="auto"/>
          </w:tcPr>
          <w:p w14:paraId="15029AB0" w14:textId="77777777" w:rsidR="00D84031" w:rsidRDefault="007965BB">
            <w:pPr>
              <w:pStyle w:val="CellTextValue"/>
            </w:pPr>
            <w:r>
              <w:rPr>
                <w:color w:val="000000"/>
              </w:rPr>
              <w:t>The rules are described in General Annex G. The following exceptions apply:</w:t>
            </w:r>
          </w:p>
          <w:p w14:paraId="1FF50856"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60"/>
            </w:r>
            <w:r>
              <w:rPr>
                <w:color w:val="000000"/>
              </w:rPr>
              <w:t>.</w:t>
            </w:r>
          </w:p>
        </w:tc>
      </w:tr>
    </w:tbl>
    <w:p w14:paraId="3B0530D6" w14:textId="77777777" w:rsidR="00D84031" w:rsidRDefault="00D84031">
      <w:pPr>
        <w:spacing w:after="0" w:line="150" w:lineRule="auto"/>
      </w:pPr>
    </w:p>
    <w:p w14:paraId="512F5E94" w14:textId="77777777" w:rsidR="00D84031" w:rsidRDefault="007965BB">
      <w:r>
        <w:rPr>
          <w:u w:val="single"/>
        </w:rPr>
        <w:t>Expected Outcome</w:t>
      </w:r>
      <w:r>
        <w:t xml:space="preserve">: </w:t>
      </w:r>
      <w:r>
        <w:rPr>
          <w:color w:val="000000"/>
        </w:rPr>
        <w:t>Projects should contribute to all of the following expected outcomes:</w:t>
      </w:r>
    </w:p>
    <w:p w14:paraId="214C2FA1" w14:textId="77777777" w:rsidR="00D84031" w:rsidRDefault="007965BB" w:rsidP="00C62CF4">
      <w:pPr>
        <w:pStyle w:val="ListParagraph"/>
        <w:numPr>
          <w:ilvl w:val="0"/>
          <w:numId w:val="71"/>
        </w:numPr>
      </w:pPr>
      <w:r>
        <w:rPr>
          <w:color w:val="000000"/>
        </w:rPr>
        <w:t xml:space="preserve">Generate rigorous, policy-relevant evidence on the factors that may influence students, researchers, and high-skilled workers from non-EU </w:t>
      </w:r>
      <w:r>
        <w:rPr>
          <w:color w:val="000000"/>
        </w:rPr>
        <w:t>countries to move to and remain in the EU.</w:t>
      </w:r>
    </w:p>
    <w:p w14:paraId="02CC017E" w14:textId="77777777" w:rsidR="00D84031" w:rsidRDefault="007965BB" w:rsidP="00C62CF4">
      <w:pPr>
        <w:pStyle w:val="ListParagraph"/>
        <w:numPr>
          <w:ilvl w:val="0"/>
          <w:numId w:val="71"/>
        </w:numPr>
      </w:pPr>
      <w:r>
        <w:rPr>
          <w:color w:val="000000"/>
        </w:rPr>
        <w:lastRenderedPageBreak/>
        <w:t xml:space="preserve">Provide policymakers and higher education/research institutions with guidance on which policies and programmes could be effective in attracting talented students, researchers and high-skilled workers from </w:t>
      </w:r>
      <w:r>
        <w:rPr>
          <w:color w:val="000000"/>
        </w:rPr>
        <w:t>non-EU countries to the EU.</w:t>
      </w:r>
    </w:p>
    <w:p w14:paraId="6761F59E" w14:textId="77777777" w:rsidR="00D84031" w:rsidRDefault="007965BB" w:rsidP="00C62CF4">
      <w:pPr>
        <w:pStyle w:val="ListParagraph"/>
        <w:numPr>
          <w:ilvl w:val="0"/>
          <w:numId w:val="71"/>
        </w:numPr>
      </w:pPr>
      <w:r>
        <w:rPr>
          <w:color w:val="000000"/>
        </w:rPr>
        <w:t>Develop actionable advice to policymakers and higher education/research institutions about how to retain talented students, researchers and high-skilled workers from non-EU countries to ensure a long-term positive impact on the EU economy’s innovation and competitiveness.</w:t>
      </w:r>
    </w:p>
    <w:p w14:paraId="3418AD1B" w14:textId="77777777" w:rsidR="00D84031" w:rsidRDefault="007965BB" w:rsidP="00C62CF4">
      <w:pPr>
        <w:pStyle w:val="ListParagraph"/>
        <w:numPr>
          <w:ilvl w:val="0"/>
          <w:numId w:val="71"/>
        </w:numPr>
      </w:pPr>
      <w:r>
        <w:rPr>
          <w:color w:val="000000"/>
        </w:rPr>
        <w:t xml:space="preserve">Provide evidence-based policy insights/options to improve the coherence of migration pathways for skilled talent across the EU. Support the development of more flexible and attractive mobility schemes, reducing administrative barriers and enhancing retention mechanisms to enhance the EU’s competitiveness in research, innovation, and cultural exchange.  </w:t>
      </w:r>
    </w:p>
    <w:p w14:paraId="31B5B535" w14:textId="77777777" w:rsidR="00D84031" w:rsidRDefault="007965BB">
      <w:r>
        <w:rPr>
          <w:u w:val="single"/>
        </w:rPr>
        <w:t>Scope</w:t>
      </w:r>
      <w:r>
        <w:t xml:space="preserve">: </w:t>
      </w:r>
      <w:r>
        <w:rPr>
          <w:color w:val="000000"/>
        </w:rPr>
        <w:t>The EU’s ability to compete on a global scale depends not only on retaining homegrown talent but also on actively drawing and retaining talent from outside Europe. The Union of Skills aims to make the EU and the European Research Area (ERA) a global magnet for talent, to attract and retain brilliant extra-EU tertiary students, top-level researchers and high-skilled workers. There is still limited research on what specific factors and their variability across Member States and Associated Countries (e.g. ac</w:t>
      </w:r>
      <w:r>
        <w:rPr>
          <w:color w:val="000000"/>
        </w:rPr>
        <w:t>ademic quality, career opportunities, cultural appeal, political context or funding availability) most influence the decision-making process for international students when choosing destinations. The same applies to the factors that can make a destination desirable for researchers and other high-skilled workers (e.g. quality of life, wages, professional opportunities, integration and family reunification measures, support to innovation ecosystem). More evidence is also needed about:</w:t>
      </w:r>
    </w:p>
    <w:p w14:paraId="22F58846" w14:textId="77777777" w:rsidR="00D84031" w:rsidRDefault="007965BB" w:rsidP="00C62CF4">
      <w:pPr>
        <w:pStyle w:val="ListParagraph"/>
        <w:numPr>
          <w:ilvl w:val="0"/>
          <w:numId w:val="72"/>
        </w:numPr>
      </w:pPr>
      <w:r>
        <w:rPr>
          <w:color w:val="000000"/>
        </w:rPr>
        <w:t>How policies and programmes can be successful in retaining students, researchers and high-skilled workers from abroad into the EU (and into Horizon Europe Associated Countries) in the medium-to-long term.</w:t>
      </w:r>
    </w:p>
    <w:p w14:paraId="4079ACFD" w14:textId="77777777" w:rsidR="00D84031" w:rsidRDefault="007965BB" w:rsidP="00C62CF4">
      <w:pPr>
        <w:pStyle w:val="ListParagraph"/>
        <w:numPr>
          <w:ilvl w:val="0"/>
          <w:numId w:val="72"/>
        </w:numPr>
      </w:pPr>
      <w:r>
        <w:rPr>
          <w:color w:val="000000"/>
        </w:rPr>
        <w:t xml:space="preserve">How to mobilise the professional potential of humanitarian migrants already in the EU in the context of global competition for talent.  </w:t>
      </w:r>
    </w:p>
    <w:p w14:paraId="16EE2B4C" w14:textId="77777777" w:rsidR="00D84031" w:rsidRDefault="007965BB">
      <w:r>
        <w:rPr>
          <w:color w:val="000000"/>
        </w:rPr>
        <w:t>Proposals should apply rigorous quantitative methods for their analysis of the abovementioned factors, policies and programmes and could complement them with qualitative research methods. Proposals should also address the gender dimension of attracting and retaining talent. As the pull factors may differ among categories of migrants, proposals can choose which group to focus on: students, researchers and/or high-skilled workers.</w:t>
      </w:r>
    </w:p>
    <w:p w14:paraId="49FFBDBA" w14:textId="77777777" w:rsidR="00D84031" w:rsidRDefault="007965BB">
      <w:r>
        <w:rPr>
          <w:color w:val="000000"/>
        </w:rPr>
        <w:t>Cooperation with higher education institutions, research institutions, non-academic organisations and notably industry, and social partners, as well as clustering and cooperation among selected projects under this call and other relevant projects, are strongly encouraged.</w:t>
      </w:r>
    </w:p>
    <w:p w14:paraId="731E6E78" w14:textId="77777777" w:rsidR="00D84031" w:rsidRDefault="007965BB">
      <w:pPr>
        <w:pStyle w:val="HeadingThree"/>
      </w:pPr>
      <w:r>
        <w:lastRenderedPageBreak/>
        <w:t>HORIZON-CL2-2026-01-TRANSFO-07: Fostering competences for the green transition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6E33803D" w14:textId="77777777" w:rsidTr="00C62CF4">
        <w:tc>
          <w:tcPr>
            <w:tcW w:w="0" w:type="auto"/>
            <w:gridSpan w:val="2"/>
          </w:tcPr>
          <w:p w14:paraId="7180F2FE" w14:textId="77777777" w:rsidR="00D84031" w:rsidRDefault="007965BB">
            <w:pPr>
              <w:pStyle w:val="CellTextValue"/>
            </w:pPr>
            <w:r>
              <w:rPr>
                <w:b/>
              </w:rPr>
              <w:t>Call: Culture, Creativity and Inclusive Society 2026</w:t>
            </w:r>
          </w:p>
        </w:tc>
      </w:tr>
      <w:tr w:rsidR="00C62CF4" w14:paraId="46903EB3" w14:textId="77777777" w:rsidTr="00C62CF4">
        <w:tc>
          <w:tcPr>
            <w:tcW w:w="0" w:type="auto"/>
            <w:gridSpan w:val="2"/>
          </w:tcPr>
          <w:p w14:paraId="48CBA1AA" w14:textId="77777777" w:rsidR="00D84031" w:rsidRDefault="007965BB">
            <w:pPr>
              <w:pStyle w:val="CellTextValue"/>
            </w:pPr>
            <w:r>
              <w:rPr>
                <w:b/>
              </w:rPr>
              <w:t>Specific conditions</w:t>
            </w:r>
          </w:p>
        </w:tc>
      </w:tr>
      <w:tr w:rsidR="00D84031" w14:paraId="7B0CD9D6" w14:textId="77777777">
        <w:tc>
          <w:tcPr>
            <w:tcW w:w="0" w:type="auto"/>
          </w:tcPr>
          <w:p w14:paraId="26C23C02" w14:textId="77777777" w:rsidR="00D84031" w:rsidRDefault="007965BB">
            <w:pPr>
              <w:pStyle w:val="CellTextValue"/>
              <w:jc w:val="left"/>
            </w:pPr>
            <w:r>
              <w:rPr>
                <w:i/>
              </w:rPr>
              <w:t>Expected EU contribution per project</w:t>
            </w:r>
          </w:p>
        </w:tc>
        <w:tc>
          <w:tcPr>
            <w:tcW w:w="0" w:type="auto"/>
          </w:tcPr>
          <w:p w14:paraId="0484F08C" w14:textId="77777777" w:rsidR="00D84031" w:rsidRDefault="007965BB">
            <w:pPr>
              <w:pStyle w:val="CellTextValue"/>
            </w:pPr>
            <w:r>
              <w:t xml:space="preserve">The Commission estimates that an EU contribution of between EUR 3.00 and 4.00 million would allow these outcomes to be addressed appropriately. Nonetheless, this </w:t>
            </w:r>
            <w:r>
              <w:t>does not preclude submission and selection of a proposal requesting different amounts.</w:t>
            </w:r>
          </w:p>
        </w:tc>
      </w:tr>
      <w:tr w:rsidR="00D84031" w14:paraId="4E25B6DB" w14:textId="77777777">
        <w:tc>
          <w:tcPr>
            <w:tcW w:w="0" w:type="auto"/>
          </w:tcPr>
          <w:p w14:paraId="370DE2AD" w14:textId="77777777" w:rsidR="00D84031" w:rsidRDefault="007965BB">
            <w:pPr>
              <w:pStyle w:val="CellTextValue"/>
              <w:jc w:val="left"/>
            </w:pPr>
            <w:r>
              <w:rPr>
                <w:i/>
              </w:rPr>
              <w:t>Indicative budget</w:t>
            </w:r>
          </w:p>
        </w:tc>
        <w:tc>
          <w:tcPr>
            <w:tcW w:w="0" w:type="auto"/>
          </w:tcPr>
          <w:p w14:paraId="2ABDCB1C" w14:textId="77777777" w:rsidR="00D84031" w:rsidRDefault="007965BB">
            <w:pPr>
              <w:pStyle w:val="CellTextValue"/>
            </w:pPr>
            <w:r>
              <w:t>The total indicative budget for the topic is EUR 12.00 million.</w:t>
            </w:r>
          </w:p>
        </w:tc>
      </w:tr>
      <w:tr w:rsidR="00D84031" w14:paraId="63CD441D" w14:textId="77777777">
        <w:tc>
          <w:tcPr>
            <w:tcW w:w="0" w:type="auto"/>
          </w:tcPr>
          <w:p w14:paraId="17E4C68E" w14:textId="77777777" w:rsidR="00D84031" w:rsidRDefault="007965BB">
            <w:pPr>
              <w:pStyle w:val="CellTextValue"/>
              <w:jc w:val="left"/>
            </w:pPr>
            <w:r>
              <w:rPr>
                <w:i/>
              </w:rPr>
              <w:t>Type of Action</w:t>
            </w:r>
          </w:p>
        </w:tc>
        <w:tc>
          <w:tcPr>
            <w:tcW w:w="0" w:type="auto"/>
          </w:tcPr>
          <w:p w14:paraId="3EA1E4A4" w14:textId="77777777" w:rsidR="00D84031" w:rsidRDefault="007965BB">
            <w:pPr>
              <w:pStyle w:val="CellTextValue"/>
            </w:pPr>
            <w:r>
              <w:rPr>
                <w:color w:val="000000"/>
              </w:rPr>
              <w:t>Research and Innovation Actions</w:t>
            </w:r>
          </w:p>
        </w:tc>
      </w:tr>
      <w:tr w:rsidR="00D84031" w14:paraId="09B70D57" w14:textId="77777777">
        <w:tc>
          <w:tcPr>
            <w:tcW w:w="0" w:type="auto"/>
          </w:tcPr>
          <w:p w14:paraId="54BAF2E3" w14:textId="77777777" w:rsidR="00D84031" w:rsidRDefault="007965BB">
            <w:pPr>
              <w:pStyle w:val="CellTextValue"/>
              <w:jc w:val="left"/>
            </w:pPr>
            <w:r>
              <w:rPr>
                <w:i/>
              </w:rPr>
              <w:t>Legal and financial set-up of the Grant Agreements</w:t>
            </w:r>
          </w:p>
        </w:tc>
        <w:tc>
          <w:tcPr>
            <w:tcW w:w="0" w:type="auto"/>
          </w:tcPr>
          <w:p w14:paraId="2304CCF4" w14:textId="77777777" w:rsidR="00D84031" w:rsidRDefault="007965BB">
            <w:pPr>
              <w:pStyle w:val="CellTextValue"/>
            </w:pPr>
            <w:r>
              <w:rPr>
                <w:color w:val="000000"/>
              </w:rPr>
              <w:t>The rules are described in General Annex G. The following exceptions apply:</w:t>
            </w:r>
          </w:p>
          <w:p w14:paraId="0A3761FE"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61"/>
            </w:r>
            <w:r>
              <w:rPr>
                <w:color w:val="000000"/>
              </w:rPr>
              <w:t>.</w:t>
            </w:r>
          </w:p>
        </w:tc>
      </w:tr>
    </w:tbl>
    <w:p w14:paraId="4E8781B2" w14:textId="77777777" w:rsidR="00D84031" w:rsidRDefault="00D84031">
      <w:pPr>
        <w:spacing w:after="0" w:line="150" w:lineRule="auto"/>
      </w:pPr>
    </w:p>
    <w:p w14:paraId="3F876141" w14:textId="77777777" w:rsidR="00D84031" w:rsidRDefault="007965BB">
      <w:r>
        <w:rPr>
          <w:u w:val="single"/>
        </w:rPr>
        <w:t>Expected Outcome</w:t>
      </w:r>
      <w:r>
        <w:t xml:space="preserve">: </w:t>
      </w:r>
      <w:r>
        <w:rPr>
          <w:color w:val="000000"/>
        </w:rPr>
        <w:t>Projects should contribute to all of the following expected outcomes:</w:t>
      </w:r>
    </w:p>
    <w:p w14:paraId="47AAE16A" w14:textId="77777777" w:rsidR="00D84031" w:rsidRDefault="007965BB" w:rsidP="00C62CF4">
      <w:pPr>
        <w:pStyle w:val="ListParagraph"/>
        <w:numPr>
          <w:ilvl w:val="0"/>
          <w:numId w:val="73"/>
        </w:numPr>
      </w:pPr>
      <w:r>
        <w:rPr>
          <w:color w:val="000000"/>
        </w:rPr>
        <w:t>Provide policymakers, education and training institutions, and social partners with a solid understanding of which competences young people and workers need to support the EU economy towards the green transition.</w:t>
      </w:r>
    </w:p>
    <w:p w14:paraId="01968171" w14:textId="77777777" w:rsidR="00D84031" w:rsidRDefault="007965BB" w:rsidP="00C62CF4">
      <w:pPr>
        <w:pStyle w:val="ListParagraph"/>
        <w:numPr>
          <w:ilvl w:val="0"/>
          <w:numId w:val="73"/>
        </w:numPr>
      </w:pPr>
      <w:r>
        <w:rPr>
          <w:color w:val="000000"/>
        </w:rPr>
        <w:t>Develop actionable advice to policymakers and education and training institutions about which education and training programmes and policy measures can promote the acquisition of those competences by young people and workers in a lifelong perspective, including the gender dimension (ensuring that women benefit equally from employment and earning opportunities linked to the green transition).</w:t>
      </w:r>
    </w:p>
    <w:p w14:paraId="05F08F0A" w14:textId="77777777" w:rsidR="00D84031" w:rsidRDefault="007965BB" w:rsidP="00C62CF4">
      <w:pPr>
        <w:pStyle w:val="ListParagraph"/>
        <w:numPr>
          <w:ilvl w:val="0"/>
          <w:numId w:val="73"/>
        </w:numPr>
      </w:pPr>
      <w:r>
        <w:rPr>
          <w:color w:val="000000"/>
        </w:rPr>
        <w:t xml:space="preserve">Provide policymakers with guidance on how to address the interconnection between fostering the competences for the green transition and those for the digital transition.  </w:t>
      </w:r>
    </w:p>
    <w:p w14:paraId="78AC34F1" w14:textId="77777777" w:rsidR="00D84031" w:rsidRDefault="007965BB">
      <w:r>
        <w:rPr>
          <w:u w:val="single"/>
        </w:rPr>
        <w:t>Scope</w:t>
      </w:r>
      <w:r>
        <w:t xml:space="preserve">: </w:t>
      </w:r>
      <w:r>
        <w:rPr>
          <w:color w:val="000000"/>
        </w:rPr>
        <w:t xml:space="preserve">Environmental challenges have been one of the key drivers of labour demand and skills supply across all sectors for the past years. More data and analysis from research on competences that young people and </w:t>
      </w:r>
      <w:r>
        <w:rPr>
          <w:color w:val="000000"/>
        </w:rPr>
        <w:t xml:space="preserve">workers need for the green transition are warranted to properly implement the Union of Skills and support people in upskilling and reskilling. The </w:t>
      </w:r>
      <w:r>
        <w:rPr>
          <w:color w:val="000000"/>
        </w:rPr>
        <w:lastRenderedPageBreak/>
        <w:t>availability of robust quantitative data is still limited, both at national and international levels. Moreover, most available research on the green transition focuses on macro-level policies, overlooking how workers and communities can drive change.</w:t>
      </w:r>
    </w:p>
    <w:p w14:paraId="017803BD" w14:textId="77777777" w:rsidR="00D84031" w:rsidRDefault="007965BB">
      <w:r>
        <w:rPr>
          <w:color w:val="000000"/>
        </w:rPr>
        <w:t>Fostering competences for the green transition also requires a better understanding of young people’s and workers’ attitudes, concerns and behaviours about climate change and climate action, biodiversity loss, circular economy and sustainable economic growth, as well as of new ways of developing capabilities and skills</w:t>
      </w:r>
      <w:r>
        <w:rPr>
          <w:vertAlign w:val="superscript"/>
        </w:rPr>
        <w:footnoteReference w:id="162"/>
      </w:r>
      <w:r>
        <w:rPr>
          <w:color w:val="000000"/>
        </w:rPr>
        <w:t>. The transferability of skills across occupations and the need for upskilling and reskilling the current workforce are also key to advancing the green transition. These issues are interconnected with the ongoing digital transition.</w:t>
      </w:r>
    </w:p>
    <w:p w14:paraId="74341963" w14:textId="77777777" w:rsidR="00D84031" w:rsidRDefault="007965BB">
      <w:r>
        <w:rPr>
          <w:color w:val="000000"/>
        </w:rPr>
        <w:t>The ‘green transition’ embraces a wide and diverse set of sectors and activities without one specific set of generic competences (in other words skills vary strongly depending on the sector). For example, according to Cedefop</w:t>
      </w:r>
      <w:r>
        <w:rPr>
          <w:vertAlign w:val="superscript"/>
        </w:rPr>
        <w:footnoteReference w:id="163"/>
      </w:r>
      <w:r>
        <w:rPr>
          <w:color w:val="000000"/>
        </w:rPr>
        <w:t xml:space="preserve">, among high climate impact sectors the demand for skills for the green transition is the highest in energy. Therefore, proposals should focus on one of the following sectors, which are particularly affected by an increasing demand for green expertise: 1) sustainable agriculture and food production, 2) automotive industry, 3) energy and 4) construction, 5) nature and climate adaptation. </w:t>
      </w:r>
    </w:p>
    <w:p w14:paraId="0DBEDFDC" w14:textId="77777777" w:rsidR="00D84031" w:rsidRDefault="007965BB">
      <w:r>
        <w:rPr>
          <w:color w:val="000000"/>
        </w:rPr>
        <w:t>Proposals should use quantitative and qualitative methods and apply a lifelong perspective to address several research questions, such as:</w:t>
      </w:r>
    </w:p>
    <w:p w14:paraId="6E9EA15C" w14:textId="77777777" w:rsidR="00D84031" w:rsidRDefault="007965BB" w:rsidP="00C62CF4">
      <w:pPr>
        <w:pStyle w:val="ListParagraph"/>
        <w:numPr>
          <w:ilvl w:val="0"/>
          <w:numId w:val="74"/>
        </w:numPr>
      </w:pPr>
      <w:r>
        <w:rPr>
          <w:color w:val="000000"/>
        </w:rPr>
        <w:t>What are the most relevant competences required to actively contribute to the green transition in these industries?</w:t>
      </w:r>
    </w:p>
    <w:p w14:paraId="56A1273A" w14:textId="77777777" w:rsidR="00D84031" w:rsidRDefault="007965BB" w:rsidP="00C62CF4">
      <w:pPr>
        <w:pStyle w:val="ListParagraph"/>
        <w:numPr>
          <w:ilvl w:val="0"/>
          <w:numId w:val="74"/>
        </w:numPr>
      </w:pPr>
      <w:r>
        <w:rPr>
          <w:color w:val="000000"/>
        </w:rPr>
        <w:t>Which assessment methods and frameworks are most effective in measuring readiness for green jobs and sustainable innovation?</w:t>
      </w:r>
    </w:p>
    <w:p w14:paraId="7F6ACFFB" w14:textId="77777777" w:rsidR="00D84031" w:rsidRDefault="007965BB" w:rsidP="00C62CF4">
      <w:pPr>
        <w:pStyle w:val="ListParagraph"/>
        <w:numPr>
          <w:ilvl w:val="0"/>
          <w:numId w:val="74"/>
        </w:numPr>
      </w:pPr>
      <w:r>
        <w:rPr>
          <w:color w:val="000000"/>
        </w:rPr>
        <w:t>What roles do digital skills and technological literacy play in equipping young people and workers for the green transition and how can education and training systems exploit the synergies between the competences for the green and digital transitions?</w:t>
      </w:r>
    </w:p>
    <w:p w14:paraId="3FB9D050" w14:textId="77777777" w:rsidR="00D84031" w:rsidRDefault="007965BB" w:rsidP="00C62CF4">
      <w:pPr>
        <w:pStyle w:val="ListParagraph"/>
        <w:numPr>
          <w:ilvl w:val="0"/>
          <w:numId w:val="74"/>
        </w:numPr>
      </w:pPr>
      <w:r>
        <w:rPr>
          <w:color w:val="000000"/>
        </w:rPr>
        <w:t>How can policymakers, education and training institutions and employers collaborate to identify and address skills shortages that may hinder the green transition?</w:t>
      </w:r>
    </w:p>
    <w:p w14:paraId="567957EA" w14:textId="77777777" w:rsidR="00D84031" w:rsidRDefault="007965BB" w:rsidP="00C62CF4">
      <w:pPr>
        <w:pStyle w:val="ListParagraph"/>
        <w:numPr>
          <w:ilvl w:val="0"/>
          <w:numId w:val="74"/>
        </w:numPr>
      </w:pPr>
      <w:r>
        <w:rPr>
          <w:color w:val="000000"/>
        </w:rPr>
        <w:t>How can vocational education and training systems become more flexible to respond effectively to evolving labour market needs for the green transition?</w:t>
      </w:r>
    </w:p>
    <w:p w14:paraId="082E9775" w14:textId="77777777" w:rsidR="00D84031" w:rsidRDefault="007965BB" w:rsidP="00C62CF4">
      <w:pPr>
        <w:pStyle w:val="ListParagraph"/>
        <w:numPr>
          <w:ilvl w:val="0"/>
          <w:numId w:val="74"/>
        </w:numPr>
      </w:pPr>
      <w:r>
        <w:rPr>
          <w:color w:val="000000"/>
        </w:rPr>
        <w:t xml:space="preserve">How to ensure that women benefit </w:t>
      </w:r>
      <w:r>
        <w:rPr>
          <w:color w:val="000000"/>
        </w:rPr>
        <w:t>equally from the opportunities of the green transition?</w:t>
      </w:r>
    </w:p>
    <w:p w14:paraId="7E75291C" w14:textId="77777777" w:rsidR="00D84031" w:rsidRDefault="007965BB" w:rsidP="00C62CF4">
      <w:pPr>
        <w:pStyle w:val="ListParagraph"/>
        <w:numPr>
          <w:ilvl w:val="0"/>
          <w:numId w:val="74"/>
        </w:numPr>
      </w:pPr>
      <w:r>
        <w:rPr>
          <w:color w:val="000000"/>
        </w:rPr>
        <w:t>How does an effective lifelong acquisition of competences for the green transition occur?</w:t>
      </w:r>
    </w:p>
    <w:p w14:paraId="6FB70D8E" w14:textId="77777777" w:rsidR="00D84031" w:rsidRDefault="007965BB" w:rsidP="00C62CF4">
      <w:pPr>
        <w:pStyle w:val="ListParagraph"/>
        <w:numPr>
          <w:ilvl w:val="0"/>
          <w:numId w:val="74"/>
        </w:numPr>
      </w:pPr>
      <w:r>
        <w:rPr>
          <w:color w:val="000000"/>
        </w:rPr>
        <w:lastRenderedPageBreak/>
        <w:t xml:space="preserve"> How can we design and implement systems that improve career advice , and support the best decisions by all learners regarding t their career choices and pathways?</w:t>
      </w:r>
    </w:p>
    <w:p w14:paraId="5C90007D" w14:textId="77777777" w:rsidR="00D84031" w:rsidRDefault="007965BB" w:rsidP="00C62CF4">
      <w:pPr>
        <w:pStyle w:val="ListParagraph"/>
        <w:numPr>
          <w:ilvl w:val="0"/>
          <w:numId w:val="74"/>
        </w:numPr>
      </w:pPr>
      <w:r>
        <w:rPr>
          <w:color w:val="000000"/>
        </w:rPr>
        <w:t>What works to get disadvantaged children onto the pathways that are proven to lead to upwards mobility (including helping those who are not in education, employment or training) and raising ambition where needed? At what age are interventions most effective?</w:t>
      </w:r>
    </w:p>
    <w:p w14:paraId="1B6F97A6" w14:textId="77777777" w:rsidR="00D84031" w:rsidRDefault="007965BB" w:rsidP="00C62CF4">
      <w:pPr>
        <w:pStyle w:val="ListParagraph"/>
        <w:numPr>
          <w:ilvl w:val="0"/>
          <w:numId w:val="74"/>
        </w:numPr>
      </w:pPr>
      <w:r>
        <w:rPr>
          <w:color w:val="000000"/>
        </w:rPr>
        <w:t xml:space="preserve">How can policymakers best create collaborations with industry to increase training opportunities, to ensure learners are as prepared as much as possible for work, and to reduce barriers to those from disadvantaged backgrounds?  </w:t>
      </w:r>
    </w:p>
    <w:p w14:paraId="231985C9" w14:textId="77777777" w:rsidR="00D84031" w:rsidRDefault="007965BB">
      <w:r>
        <w:rPr>
          <w:color w:val="000000"/>
        </w:rPr>
        <w:t>Proposals should also consider the gender dimension in their analysis. Clustering and cooperation among selected projects under this call topic and other relevant projects, for example from the Horizon 2020 European Green Deal Call and their results, are strongly encouraged.</w:t>
      </w:r>
    </w:p>
    <w:p w14:paraId="252E38A1" w14:textId="77777777" w:rsidR="00D84031" w:rsidRDefault="007965BB">
      <w:r>
        <w:rPr>
          <w:color w:val="000000"/>
        </w:rPr>
        <w:t>Proposals should also explore synergies with the New European Bauhaus (NEB) Facility, including notably the NEB Academy on skills for sustainable construction, and the European Partnership on Social Transformations and Resilience.</w:t>
      </w:r>
    </w:p>
    <w:p w14:paraId="793F2C56" w14:textId="77777777" w:rsidR="00D84031" w:rsidRDefault="007965BB">
      <w:pPr>
        <w:pStyle w:val="HeadingThree"/>
      </w:pPr>
      <w:r>
        <w:t>HORIZON-CL2-2026-01-TRANSFO-08: Strengthened implementation of the EU Pact on Migration and Asylum and a focus on inclusion, integration, and health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6FD7804E" w14:textId="77777777" w:rsidTr="00C62CF4">
        <w:tc>
          <w:tcPr>
            <w:tcW w:w="0" w:type="auto"/>
            <w:gridSpan w:val="2"/>
          </w:tcPr>
          <w:p w14:paraId="0794D3C2" w14:textId="77777777" w:rsidR="00D84031" w:rsidRDefault="007965BB">
            <w:pPr>
              <w:pStyle w:val="CellTextValue"/>
            </w:pPr>
            <w:r>
              <w:rPr>
                <w:b/>
              </w:rPr>
              <w:t>Call: Culture, Creativity and Inclusive Society 2026</w:t>
            </w:r>
          </w:p>
        </w:tc>
      </w:tr>
      <w:tr w:rsidR="00C62CF4" w14:paraId="4CA24F29" w14:textId="77777777" w:rsidTr="00C62CF4">
        <w:tc>
          <w:tcPr>
            <w:tcW w:w="0" w:type="auto"/>
            <w:gridSpan w:val="2"/>
          </w:tcPr>
          <w:p w14:paraId="3962333D" w14:textId="77777777" w:rsidR="00D84031" w:rsidRDefault="007965BB">
            <w:pPr>
              <w:pStyle w:val="CellTextValue"/>
            </w:pPr>
            <w:r>
              <w:rPr>
                <w:b/>
              </w:rPr>
              <w:t xml:space="preserve">Specific </w:t>
            </w:r>
            <w:r>
              <w:rPr>
                <w:b/>
              </w:rPr>
              <w:t>conditions</w:t>
            </w:r>
          </w:p>
        </w:tc>
      </w:tr>
      <w:tr w:rsidR="00D84031" w14:paraId="55B67CC3" w14:textId="77777777">
        <w:tc>
          <w:tcPr>
            <w:tcW w:w="0" w:type="auto"/>
          </w:tcPr>
          <w:p w14:paraId="09C3AF7D" w14:textId="77777777" w:rsidR="00D84031" w:rsidRDefault="007965BB">
            <w:pPr>
              <w:pStyle w:val="CellTextValue"/>
              <w:jc w:val="left"/>
            </w:pPr>
            <w:r>
              <w:rPr>
                <w:i/>
              </w:rPr>
              <w:t>Expected EU contribution per project</w:t>
            </w:r>
          </w:p>
        </w:tc>
        <w:tc>
          <w:tcPr>
            <w:tcW w:w="0" w:type="auto"/>
          </w:tcPr>
          <w:p w14:paraId="33300ED9" w14:textId="77777777" w:rsidR="00D84031" w:rsidRDefault="007965BB">
            <w:pPr>
              <w:pStyle w:val="CellTextValue"/>
            </w:pPr>
            <w:r>
              <w:t>The Commission estimates that an EU contribution of between EUR 3.00 and 4.00 million would allow these outcomes to be addressed appropriately. Nonetheless, this does not preclude submission and selection of a proposal requesting different amounts.</w:t>
            </w:r>
          </w:p>
        </w:tc>
      </w:tr>
      <w:tr w:rsidR="00D84031" w14:paraId="2BD9B8DC" w14:textId="77777777">
        <w:tc>
          <w:tcPr>
            <w:tcW w:w="0" w:type="auto"/>
          </w:tcPr>
          <w:p w14:paraId="54DD2E30" w14:textId="77777777" w:rsidR="00D84031" w:rsidRDefault="007965BB">
            <w:pPr>
              <w:pStyle w:val="CellTextValue"/>
              <w:jc w:val="left"/>
            </w:pPr>
            <w:r>
              <w:rPr>
                <w:i/>
              </w:rPr>
              <w:t>Indicative budget</w:t>
            </w:r>
          </w:p>
        </w:tc>
        <w:tc>
          <w:tcPr>
            <w:tcW w:w="0" w:type="auto"/>
          </w:tcPr>
          <w:p w14:paraId="4441D01D" w14:textId="77777777" w:rsidR="00D84031" w:rsidRDefault="007965BB">
            <w:pPr>
              <w:pStyle w:val="CellTextValue"/>
            </w:pPr>
            <w:r>
              <w:t>The total indicative budget for the topic is EUR 12.00 million.</w:t>
            </w:r>
          </w:p>
        </w:tc>
      </w:tr>
      <w:tr w:rsidR="00D84031" w14:paraId="638D3DB9" w14:textId="77777777">
        <w:tc>
          <w:tcPr>
            <w:tcW w:w="0" w:type="auto"/>
          </w:tcPr>
          <w:p w14:paraId="5A959EF8" w14:textId="77777777" w:rsidR="00D84031" w:rsidRDefault="007965BB">
            <w:pPr>
              <w:pStyle w:val="CellTextValue"/>
              <w:jc w:val="left"/>
            </w:pPr>
            <w:r>
              <w:rPr>
                <w:i/>
              </w:rPr>
              <w:t>Type of Action</w:t>
            </w:r>
          </w:p>
        </w:tc>
        <w:tc>
          <w:tcPr>
            <w:tcW w:w="0" w:type="auto"/>
          </w:tcPr>
          <w:p w14:paraId="39008223" w14:textId="77777777" w:rsidR="00D84031" w:rsidRDefault="007965BB">
            <w:pPr>
              <w:pStyle w:val="CellTextValue"/>
            </w:pPr>
            <w:r>
              <w:rPr>
                <w:color w:val="000000"/>
              </w:rPr>
              <w:t>Research and Innovation Actions</w:t>
            </w:r>
          </w:p>
        </w:tc>
      </w:tr>
      <w:tr w:rsidR="00D84031" w14:paraId="7901F632" w14:textId="77777777">
        <w:tc>
          <w:tcPr>
            <w:tcW w:w="0" w:type="auto"/>
          </w:tcPr>
          <w:p w14:paraId="3C85C736" w14:textId="77777777" w:rsidR="00D84031" w:rsidRDefault="007965BB">
            <w:pPr>
              <w:pStyle w:val="CellTextValue"/>
              <w:jc w:val="left"/>
            </w:pPr>
            <w:r>
              <w:rPr>
                <w:i/>
              </w:rPr>
              <w:t>Eligibility conditions</w:t>
            </w:r>
          </w:p>
        </w:tc>
        <w:tc>
          <w:tcPr>
            <w:tcW w:w="0" w:type="auto"/>
          </w:tcPr>
          <w:p w14:paraId="733836C2" w14:textId="77777777" w:rsidR="00D84031" w:rsidRDefault="007965BB">
            <w:pPr>
              <w:pStyle w:val="CellTextValue"/>
            </w:pPr>
            <w:r>
              <w:rPr>
                <w:color w:val="000000"/>
              </w:rPr>
              <w:t xml:space="preserve">The conditions are described in General Annex B. The </w:t>
            </w:r>
            <w:r>
              <w:rPr>
                <w:color w:val="000000"/>
              </w:rPr>
              <w:t>following exceptions apply:</w:t>
            </w:r>
          </w:p>
          <w:p w14:paraId="4E99B001" w14:textId="77777777" w:rsidR="00D84031" w:rsidRDefault="007965BB">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D84031" w14:paraId="21DE769B" w14:textId="77777777">
        <w:tc>
          <w:tcPr>
            <w:tcW w:w="0" w:type="auto"/>
          </w:tcPr>
          <w:p w14:paraId="5B4EC237" w14:textId="77777777" w:rsidR="00D84031" w:rsidRDefault="007965BB">
            <w:pPr>
              <w:pStyle w:val="CellTextValue"/>
              <w:jc w:val="left"/>
            </w:pPr>
            <w:r>
              <w:rPr>
                <w:i/>
              </w:rPr>
              <w:t>Legal and financial set-up of the Grant Agreements</w:t>
            </w:r>
          </w:p>
        </w:tc>
        <w:tc>
          <w:tcPr>
            <w:tcW w:w="0" w:type="auto"/>
          </w:tcPr>
          <w:p w14:paraId="777DA11A" w14:textId="77777777" w:rsidR="00D84031" w:rsidRDefault="007965BB">
            <w:pPr>
              <w:pStyle w:val="CellTextValue"/>
            </w:pPr>
            <w:r>
              <w:rPr>
                <w:color w:val="000000"/>
              </w:rPr>
              <w:t>The rules are described in General Annex G. The following exceptions apply:</w:t>
            </w:r>
          </w:p>
          <w:p w14:paraId="299A5C95" w14:textId="77777777" w:rsidR="00D84031" w:rsidRDefault="007965BB">
            <w:pPr>
              <w:pStyle w:val="CellTextValue"/>
            </w:pPr>
            <w:r>
              <w:rPr>
                <w:color w:val="000000"/>
              </w:rPr>
              <w:t xml:space="preserve">Eligible costs will take the form of a lump sum as defined in the </w:t>
            </w:r>
            <w:r>
              <w:rPr>
                <w:color w:val="000000"/>
              </w:rPr>
              <w:lastRenderedPageBreak/>
              <w:t xml:space="preserve">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64"/>
            </w:r>
            <w:r>
              <w:rPr>
                <w:color w:val="000000"/>
              </w:rPr>
              <w:t>.</w:t>
            </w:r>
          </w:p>
        </w:tc>
      </w:tr>
    </w:tbl>
    <w:p w14:paraId="6E78CDCE" w14:textId="77777777" w:rsidR="00D84031" w:rsidRDefault="00D84031">
      <w:pPr>
        <w:spacing w:after="0" w:line="150" w:lineRule="auto"/>
      </w:pPr>
    </w:p>
    <w:p w14:paraId="2B7C4C33" w14:textId="77777777" w:rsidR="00D84031" w:rsidRDefault="007965BB">
      <w:r>
        <w:rPr>
          <w:u w:val="single"/>
        </w:rPr>
        <w:t>Expected Outcome</w:t>
      </w:r>
      <w:r>
        <w:t xml:space="preserve">: </w:t>
      </w:r>
      <w:r>
        <w:rPr>
          <w:color w:val="000000"/>
        </w:rPr>
        <w:t>Projects should contribute to either the first and second (combined), or the third and fourth (combined) of the following expected outcomes:</w:t>
      </w:r>
    </w:p>
    <w:p w14:paraId="5A841DD0" w14:textId="77777777" w:rsidR="00D84031" w:rsidRDefault="007965BB" w:rsidP="00C62CF4">
      <w:pPr>
        <w:pStyle w:val="ListParagraph"/>
        <w:numPr>
          <w:ilvl w:val="0"/>
          <w:numId w:val="75"/>
        </w:numPr>
      </w:pPr>
      <w:r>
        <w:rPr>
          <w:color w:val="000000"/>
        </w:rPr>
        <w:t>Improved implementation of the EU Pact on Migration and Asylum through evidence-based insights in asylum and migration management, age assessment of minors, and resettlement frameworks, ensuring fair and efficient migration governance.</w:t>
      </w:r>
    </w:p>
    <w:p w14:paraId="197893E0" w14:textId="77777777" w:rsidR="00D84031" w:rsidRDefault="007965BB" w:rsidP="00C62CF4">
      <w:pPr>
        <w:pStyle w:val="ListParagraph"/>
        <w:numPr>
          <w:ilvl w:val="0"/>
          <w:numId w:val="75"/>
        </w:numPr>
      </w:pPr>
      <w:r>
        <w:rPr>
          <w:color w:val="000000"/>
        </w:rPr>
        <w:t>Insight into legal pathways addressing both EU Member States’ needs and potential offers of circular and permanent migration schemes in selected partner countries.</w:t>
      </w:r>
    </w:p>
    <w:p w14:paraId="41CDADA6" w14:textId="77777777" w:rsidR="00D84031" w:rsidRDefault="007965BB" w:rsidP="00C62CF4">
      <w:pPr>
        <w:pStyle w:val="ListParagraph"/>
        <w:numPr>
          <w:ilvl w:val="0"/>
          <w:numId w:val="75"/>
        </w:numPr>
      </w:pPr>
      <w:r>
        <w:rPr>
          <w:color w:val="000000"/>
        </w:rPr>
        <w:t>Enhanced health equity for migrants and refugees by integrating robust health data into national systems, addressing governance barriers, and tackling intersectional inequities in healthcare access, identifying data/indicators on basic needs in health and sanitation, including as compared to adequate treatment.</w:t>
      </w:r>
    </w:p>
    <w:p w14:paraId="0A8B98C4" w14:textId="77777777" w:rsidR="00D84031" w:rsidRDefault="007965BB" w:rsidP="00C62CF4">
      <w:pPr>
        <w:pStyle w:val="ListParagraph"/>
        <w:numPr>
          <w:ilvl w:val="0"/>
          <w:numId w:val="75"/>
        </w:numPr>
      </w:pPr>
      <w:r>
        <w:rPr>
          <w:color w:val="000000"/>
        </w:rPr>
        <w:t xml:space="preserve">Comprehensive evaluation of long-term social inclusion and integration strategies, providing evidence-based policy recommendations for labour market access, housing, education, health (including mental health), recognition of qualifications and validation of skills, youth participation, and social, political, and cultural inclusion. </w:t>
      </w:r>
    </w:p>
    <w:p w14:paraId="28705A6A" w14:textId="77777777" w:rsidR="00D84031" w:rsidRDefault="007965BB">
      <w:r>
        <w:rPr>
          <w:color w:val="000000"/>
        </w:rPr>
        <w:t xml:space="preserve">Proposals should state clearly which expected outcomes their proposed research will contribute to. </w:t>
      </w:r>
    </w:p>
    <w:p w14:paraId="79496BB9" w14:textId="77777777" w:rsidR="00D84031" w:rsidRDefault="007965BB">
      <w:r>
        <w:rPr>
          <w:u w:val="single"/>
        </w:rPr>
        <w:t>Scope</w:t>
      </w:r>
      <w:r>
        <w:t xml:space="preserve">: </w:t>
      </w:r>
      <w:r>
        <w:rPr>
          <w:color w:val="000000"/>
        </w:rPr>
        <w:t>The EU Pact on Migration and Asylum</w:t>
      </w:r>
      <w:r>
        <w:rPr>
          <w:vertAlign w:val="superscript"/>
        </w:rPr>
        <w:footnoteReference w:id="165"/>
      </w:r>
      <w:r>
        <w:rPr>
          <w:color w:val="000000"/>
        </w:rPr>
        <w:t xml:space="preserve"> has introduced several key mechanisms requiring robust evidence to support their effective implementation. Proposals should conduct a comprehensive analysis of the Pact’s components, including, for instance, the solidarity mechanism, the age assessment framework for minors, crisis and force majeure migration management, the EU externalisation policies on global migration patterns and the Union Resettlement and Humanitarian Admission Framework. This analysis should account for diverse national institutional</w:t>
      </w:r>
      <w:r>
        <w:rPr>
          <w:color w:val="000000"/>
        </w:rPr>
        <w:t xml:space="preserve"> landscapes and propose tailored policy recommendations that uphold human rights and enhance practical implementation.</w:t>
      </w:r>
    </w:p>
    <w:p w14:paraId="10B68289" w14:textId="77777777" w:rsidR="00D84031" w:rsidRDefault="007965BB">
      <w:r>
        <w:rPr>
          <w:color w:val="000000"/>
        </w:rPr>
        <w:t>The landscape of health data concerning migrants and refugees is fragmented, incomplete, and often of low quality. This situation is compound by political, governance, legal and structural aspects that challenge the effective integration and utilisation of available data.</w:t>
      </w:r>
    </w:p>
    <w:p w14:paraId="44BA6BA8" w14:textId="77777777" w:rsidR="00D84031" w:rsidRDefault="007965BB">
      <w:r>
        <w:rPr>
          <w:color w:val="000000"/>
        </w:rPr>
        <w:lastRenderedPageBreak/>
        <w:t>Proposals should map the existing landscape of health data integration for migrants and refugees across national health information systems, evaluating existing data collection frameworks, methodologies, and technologies used to gather and integrate health information on migrant populations, highlighting potential systemic and organisational barriers. They should identify challenges and best practices that have successfully facilitated data integration while maintain high standard of data privacy and securi</w:t>
      </w:r>
      <w:r>
        <w:rPr>
          <w:color w:val="000000"/>
        </w:rPr>
        <w:t>ty and provide policy recommendations.</w:t>
      </w:r>
    </w:p>
    <w:p w14:paraId="3EC0D41D" w14:textId="77777777" w:rsidR="00D84031" w:rsidRDefault="007965BB">
      <w:r>
        <w:rPr>
          <w:color w:val="000000"/>
        </w:rPr>
        <w:t>Moreover, there is a lack of research exploring how intersecting factors such as age, gender, disability and legal status influence health outcomes among migrant and refugee populations, including older migrants. Addressing these gaps is essential for the development of informed policies that ensure equitable health care access and improve overall health outcomes with special consideration to vulnerable persons. Proposals should incorporate analysis of the impact of intersectional factors in access to healt</w:t>
      </w:r>
      <w:r>
        <w:rPr>
          <w:color w:val="000000"/>
        </w:rPr>
        <w:t>h for migrant and refugees' populations.</w:t>
      </w:r>
    </w:p>
    <w:p w14:paraId="06962C56" w14:textId="77777777" w:rsidR="00D84031" w:rsidRDefault="007965BB">
      <w:r>
        <w:rPr>
          <w:color w:val="000000"/>
        </w:rPr>
        <w:t>Beyond health, understanding the long-term impact of social inclusion and integration</w:t>
      </w:r>
      <w:r>
        <w:rPr>
          <w:vertAlign w:val="superscript"/>
        </w:rPr>
        <w:footnoteReference w:id="166"/>
      </w:r>
      <w:r>
        <w:rPr>
          <w:color w:val="000000"/>
        </w:rPr>
        <w:t xml:space="preserve"> strategies, is critical. Proposals should develop comprehensive and comparative evaluation frameworks to measure the effectiveness of existing strategies at the EU, national and local levels, identifying best practices at all levels (EU, national, local) and particularly the role of small and medium-sized towns; municipalities and recommending innovative policy adjustments. Areas of focus should include labour market access, mobility options of asylum seekers within the Dublin framework, housing, youth and</w:t>
      </w:r>
      <w:r>
        <w:rPr>
          <w:color w:val="000000"/>
        </w:rPr>
        <w:t xml:space="preserve"> women participation, the contribution of private sector and non-state actors and the broader social, political, and cultural inclusion of migrant and refugee communities, including the role of education, as well as linguistic competence in the language of the receiving country. Proposals are encouraged to explore the biographical dimensions of integration, acknowledging the personal trajectories of migrants and refugees. Research should also explore the relationship between migratory movements and social i</w:t>
      </w:r>
      <w:r>
        <w:rPr>
          <w:color w:val="000000"/>
        </w:rPr>
        <w:t>dentity formation, ensuring that integration policies are adaptable to evolving societal dynamics and sustainable over time. Proposals should incorporate quantitative data and sound methodologies to identify effective practices, target groups, and enabling conditions to assess integration policies and in particular labour market integration outcomes. Wherever relevant proposals are encouraged to include migrants and/or refugees as participants in their research assessing first-hand their experiences, needs,</w:t>
      </w:r>
      <w:r>
        <w:rPr>
          <w:color w:val="000000"/>
        </w:rPr>
        <w:t xml:space="preserve"> attitudes and opinions.</w:t>
      </w:r>
    </w:p>
    <w:p w14:paraId="4A2FA3E0" w14:textId="77777777" w:rsidR="00D84031" w:rsidRDefault="007965BB">
      <w:r>
        <w:rPr>
          <w:color w:val="000000"/>
        </w:rPr>
        <w:t>Proposals may envisage JRC participation, drawing on its cross-cutting expertise in migration governance, social inclusion, and integration including from a health aspect. The JRC could for example contribute to comparative policy analysis, harmonised data collection across Member States, and evidence-based support to EU-level decision-making, utilising its experience in developing integration indicators, analysing inequalities, and providing foresight on migration trends.</w:t>
      </w:r>
    </w:p>
    <w:p w14:paraId="20AEB0E7" w14:textId="77777777" w:rsidR="00D84031" w:rsidRDefault="007965BB">
      <w:r>
        <w:rPr>
          <w:color w:val="000000"/>
        </w:rPr>
        <w:t>Where relevant, proposals may consider citizen engagement and dialogue beyond migrants and refugees, with a view to collecting broader input.</w:t>
      </w:r>
    </w:p>
    <w:p w14:paraId="68C5504D" w14:textId="77777777" w:rsidR="00D84031" w:rsidRDefault="007965BB">
      <w:pPr>
        <w:pStyle w:val="HeadingThree"/>
      </w:pPr>
      <w:r>
        <w:lastRenderedPageBreak/>
        <w:t>HORIZON-CL2-2026-01-TRANSFO-09: Rethinking long-term care policy in the face of EU demographic shifts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C62CF4" w14:paraId="2FAFC2ED" w14:textId="77777777" w:rsidTr="00C62CF4">
        <w:tc>
          <w:tcPr>
            <w:tcW w:w="0" w:type="auto"/>
            <w:gridSpan w:val="2"/>
          </w:tcPr>
          <w:p w14:paraId="74A697A0" w14:textId="77777777" w:rsidR="00D84031" w:rsidRDefault="007965BB">
            <w:pPr>
              <w:pStyle w:val="CellTextValue"/>
            </w:pPr>
            <w:r>
              <w:rPr>
                <w:b/>
              </w:rPr>
              <w:t>Call: Culture, Creativity and Inclusive Society 2026</w:t>
            </w:r>
          </w:p>
        </w:tc>
      </w:tr>
      <w:tr w:rsidR="00C62CF4" w14:paraId="4ED2D9D8" w14:textId="77777777" w:rsidTr="00C62CF4">
        <w:tc>
          <w:tcPr>
            <w:tcW w:w="0" w:type="auto"/>
            <w:gridSpan w:val="2"/>
          </w:tcPr>
          <w:p w14:paraId="04D5BF97" w14:textId="77777777" w:rsidR="00D84031" w:rsidRDefault="007965BB">
            <w:pPr>
              <w:pStyle w:val="CellTextValue"/>
            </w:pPr>
            <w:r>
              <w:rPr>
                <w:b/>
              </w:rPr>
              <w:t>Specific conditions</w:t>
            </w:r>
          </w:p>
        </w:tc>
      </w:tr>
      <w:tr w:rsidR="00D84031" w14:paraId="2D362D9A" w14:textId="77777777">
        <w:tc>
          <w:tcPr>
            <w:tcW w:w="0" w:type="auto"/>
          </w:tcPr>
          <w:p w14:paraId="09FC2164" w14:textId="77777777" w:rsidR="00D84031" w:rsidRDefault="007965BB">
            <w:pPr>
              <w:pStyle w:val="CellTextValue"/>
              <w:jc w:val="left"/>
            </w:pPr>
            <w:r>
              <w:rPr>
                <w:i/>
              </w:rPr>
              <w:t>Expected EU contribution per project</w:t>
            </w:r>
          </w:p>
        </w:tc>
        <w:tc>
          <w:tcPr>
            <w:tcW w:w="0" w:type="auto"/>
          </w:tcPr>
          <w:p w14:paraId="2899BEB7" w14:textId="77777777" w:rsidR="00D84031" w:rsidRDefault="007965BB">
            <w:pPr>
              <w:pStyle w:val="CellTextValue"/>
            </w:pPr>
            <w:r>
              <w:t>The Commission estimates that an EU contribution of around EUR 3.75 million would allow these outcomes to be addressed appropriately. Nonetheless, this does not preclude submission and selection of a proposal requesting different amounts.</w:t>
            </w:r>
          </w:p>
        </w:tc>
      </w:tr>
      <w:tr w:rsidR="00D84031" w14:paraId="1B3A5612" w14:textId="77777777">
        <w:tc>
          <w:tcPr>
            <w:tcW w:w="0" w:type="auto"/>
          </w:tcPr>
          <w:p w14:paraId="12802C7D" w14:textId="77777777" w:rsidR="00D84031" w:rsidRDefault="007965BB">
            <w:pPr>
              <w:pStyle w:val="CellTextValue"/>
              <w:jc w:val="left"/>
            </w:pPr>
            <w:r>
              <w:rPr>
                <w:i/>
              </w:rPr>
              <w:t>Indicative budget</w:t>
            </w:r>
          </w:p>
        </w:tc>
        <w:tc>
          <w:tcPr>
            <w:tcW w:w="0" w:type="auto"/>
          </w:tcPr>
          <w:p w14:paraId="5A376C15" w14:textId="77777777" w:rsidR="00D84031" w:rsidRDefault="007965BB">
            <w:pPr>
              <w:pStyle w:val="CellTextValue"/>
            </w:pPr>
            <w:r>
              <w:t>The total indicative budget for the topic is EUR 15.00 million.</w:t>
            </w:r>
          </w:p>
        </w:tc>
      </w:tr>
      <w:tr w:rsidR="00D84031" w14:paraId="13815CEE" w14:textId="77777777">
        <w:tc>
          <w:tcPr>
            <w:tcW w:w="0" w:type="auto"/>
          </w:tcPr>
          <w:p w14:paraId="2804AE5B" w14:textId="77777777" w:rsidR="00D84031" w:rsidRDefault="007965BB">
            <w:pPr>
              <w:pStyle w:val="CellTextValue"/>
              <w:jc w:val="left"/>
            </w:pPr>
            <w:r>
              <w:rPr>
                <w:i/>
              </w:rPr>
              <w:t>Type of Action</w:t>
            </w:r>
          </w:p>
        </w:tc>
        <w:tc>
          <w:tcPr>
            <w:tcW w:w="0" w:type="auto"/>
          </w:tcPr>
          <w:p w14:paraId="56A1AD47" w14:textId="77777777" w:rsidR="00D84031" w:rsidRDefault="007965BB">
            <w:pPr>
              <w:pStyle w:val="CellTextValue"/>
            </w:pPr>
            <w:r>
              <w:rPr>
                <w:color w:val="000000"/>
              </w:rPr>
              <w:t>Research and Innovation Actions</w:t>
            </w:r>
          </w:p>
        </w:tc>
      </w:tr>
      <w:tr w:rsidR="00D84031" w14:paraId="2D621520" w14:textId="77777777">
        <w:tc>
          <w:tcPr>
            <w:tcW w:w="0" w:type="auto"/>
          </w:tcPr>
          <w:p w14:paraId="64D6CBA8" w14:textId="77777777" w:rsidR="00D84031" w:rsidRDefault="007965BB">
            <w:pPr>
              <w:pStyle w:val="CellTextValue"/>
              <w:jc w:val="left"/>
            </w:pPr>
            <w:r>
              <w:rPr>
                <w:i/>
              </w:rPr>
              <w:t>Eligibility conditions</w:t>
            </w:r>
          </w:p>
        </w:tc>
        <w:tc>
          <w:tcPr>
            <w:tcW w:w="0" w:type="auto"/>
          </w:tcPr>
          <w:p w14:paraId="1F4FEAE3" w14:textId="77777777" w:rsidR="00D84031" w:rsidRDefault="007965BB">
            <w:pPr>
              <w:pStyle w:val="CellTextValue"/>
            </w:pPr>
            <w:r>
              <w:rPr>
                <w:color w:val="000000"/>
              </w:rPr>
              <w:t>The conditions are described in General Annex B. The following exceptions apply:</w:t>
            </w:r>
          </w:p>
          <w:p w14:paraId="57F2CDCC" w14:textId="77777777" w:rsidR="00D84031" w:rsidRDefault="007965BB">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p w14:paraId="18CDE1F4" w14:textId="77777777" w:rsidR="00D84031" w:rsidRDefault="007965BB">
            <w:pPr>
              <w:pStyle w:val="CellTextValue"/>
            </w:pPr>
            <w:r>
              <w:rPr>
                <w:color w:val="000000"/>
              </w:rPr>
              <w:t>Subject to restrictions for the protection of European communication networks.</w:t>
            </w:r>
          </w:p>
        </w:tc>
      </w:tr>
      <w:tr w:rsidR="00D84031" w14:paraId="084AE9B7" w14:textId="77777777">
        <w:tc>
          <w:tcPr>
            <w:tcW w:w="0" w:type="auto"/>
          </w:tcPr>
          <w:p w14:paraId="26D12B0B" w14:textId="77777777" w:rsidR="00D84031" w:rsidRDefault="007965BB">
            <w:pPr>
              <w:pStyle w:val="CellTextValue"/>
              <w:jc w:val="left"/>
            </w:pPr>
            <w:r>
              <w:rPr>
                <w:i/>
              </w:rPr>
              <w:t>Legal and financial set-up of the Grant Agreements</w:t>
            </w:r>
          </w:p>
        </w:tc>
        <w:tc>
          <w:tcPr>
            <w:tcW w:w="0" w:type="auto"/>
          </w:tcPr>
          <w:p w14:paraId="416D043C" w14:textId="77777777" w:rsidR="00D84031" w:rsidRDefault="007965BB">
            <w:pPr>
              <w:pStyle w:val="CellTextValue"/>
            </w:pPr>
            <w:r>
              <w:rPr>
                <w:color w:val="000000"/>
              </w:rPr>
              <w:t>The rules are described in General Annex G. The following exceptions apply:</w:t>
            </w:r>
          </w:p>
          <w:p w14:paraId="0E485754"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67"/>
            </w:r>
            <w:r>
              <w:rPr>
                <w:color w:val="000000"/>
              </w:rPr>
              <w:t>.</w:t>
            </w:r>
          </w:p>
        </w:tc>
      </w:tr>
    </w:tbl>
    <w:p w14:paraId="3CF4CDCC" w14:textId="77777777" w:rsidR="00D84031" w:rsidRDefault="00D84031">
      <w:pPr>
        <w:spacing w:after="0" w:line="150" w:lineRule="auto"/>
      </w:pPr>
    </w:p>
    <w:p w14:paraId="1687ED6B" w14:textId="77777777" w:rsidR="00D84031" w:rsidRDefault="007965BB">
      <w:r>
        <w:rPr>
          <w:u w:val="single"/>
        </w:rPr>
        <w:t>Expected Outcome</w:t>
      </w:r>
      <w:r>
        <w:t xml:space="preserve">: </w:t>
      </w:r>
      <w:r>
        <w:rPr>
          <w:color w:val="000000"/>
        </w:rPr>
        <w:t>Projects should contribute to all of the following expected outcomes:</w:t>
      </w:r>
    </w:p>
    <w:p w14:paraId="77ABE155" w14:textId="77777777" w:rsidR="00D84031" w:rsidRDefault="007965BB" w:rsidP="00C62CF4">
      <w:pPr>
        <w:pStyle w:val="ListParagraph"/>
        <w:numPr>
          <w:ilvl w:val="0"/>
          <w:numId w:val="76"/>
        </w:numPr>
      </w:pPr>
      <w:r>
        <w:rPr>
          <w:color w:val="000000"/>
        </w:rPr>
        <w:t xml:space="preserve">Evaluate the effectiveness and resilience of existing long term-care (LTC) policies at national and </w:t>
      </w:r>
      <w:r>
        <w:rPr>
          <w:color w:val="000000"/>
        </w:rPr>
        <w:t>regional levels.</w:t>
      </w:r>
    </w:p>
    <w:p w14:paraId="17F07451" w14:textId="77777777" w:rsidR="00D84031" w:rsidRDefault="007965BB" w:rsidP="00C62CF4">
      <w:pPr>
        <w:pStyle w:val="ListParagraph"/>
        <w:numPr>
          <w:ilvl w:val="0"/>
          <w:numId w:val="76"/>
        </w:numPr>
      </w:pPr>
      <w:r>
        <w:rPr>
          <w:color w:val="000000"/>
        </w:rPr>
        <w:t>Provide policy makers with scientific knowledge and data for evidence-informed policies to address the rising demand for affordable, accessible and high-quality long-</w:t>
      </w:r>
      <w:r>
        <w:rPr>
          <w:color w:val="000000"/>
        </w:rPr>
        <w:lastRenderedPageBreak/>
        <w:t>term care, with the focus on efficient use of resources, including human, financial and technological.</w:t>
      </w:r>
    </w:p>
    <w:p w14:paraId="7EAAF368" w14:textId="77777777" w:rsidR="00D84031" w:rsidRDefault="007965BB" w:rsidP="00C62CF4">
      <w:pPr>
        <w:pStyle w:val="ListParagraph"/>
        <w:numPr>
          <w:ilvl w:val="0"/>
          <w:numId w:val="76"/>
        </w:numPr>
      </w:pPr>
      <w:r>
        <w:rPr>
          <w:color w:val="000000"/>
        </w:rPr>
        <w:t xml:space="preserve">Propose new policy solutions to address rising long-term care needs and to ensure smooth (in)formal care transitions, including from the perspective of active and healthy ageing policies and the development of integrated care service provision at local level.  </w:t>
      </w:r>
    </w:p>
    <w:p w14:paraId="7F48CE85" w14:textId="77777777" w:rsidR="00D84031" w:rsidRDefault="007965BB">
      <w:r>
        <w:rPr>
          <w:u w:val="single"/>
        </w:rPr>
        <w:t>Scope</w:t>
      </w:r>
      <w:r>
        <w:t xml:space="preserve">: </w:t>
      </w:r>
      <w:r>
        <w:rPr>
          <w:color w:val="000000"/>
        </w:rPr>
        <w:t>In the EU, the number of people with long-term care needs is projected to increase in the future. In 2070, this number is expected to be 21% higher than in 2020.</w:t>
      </w:r>
    </w:p>
    <w:p w14:paraId="2727BA55" w14:textId="77777777" w:rsidR="00D84031" w:rsidRDefault="007965BB">
      <w:r>
        <w:rPr>
          <w:color w:val="000000"/>
        </w:rPr>
        <w:t>This increase is largely due to population ageing and to the fact that more people are entering older age groups than in the past, and also relates to higher needs for palliative care. At the same time, many Member States already struggle to meet all the long-term care needs now due to workforce shortages, which are likely to aggravate in future as the long-term care workforce is itself ageing and the sector is not attractive due to difficult working conditions, limited career development pathways and low p</w:t>
      </w:r>
      <w:r>
        <w:rPr>
          <w:color w:val="000000"/>
        </w:rPr>
        <w:t>rofessional standards.</w:t>
      </w:r>
    </w:p>
    <w:p w14:paraId="3A2405A7" w14:textId="77777777" w:rsidR="00D84031" w:rsidRDefault="007965BB">
      <w:r>
        <w:rPr>
          <w:color w:val="000000"/>
        </w:rPr>
        <w:t>Scientific evidence from research and innovation is needed to help address the increasing demand for long-term care in the EU in the context of shrinking labour resources and increasing pressures on public and private budgets.</w:t>
      </w:r>
    </w:p>
    <w:p w14:paraId="12F9A90B" w14:textId="77777777" w:rsidR="00D84031" w:rsidRDefault="007965BB">
      <w:r>
        <w:rPr>
          <w:color w:val="000000"/>
        </w:rPr>
        <w:t>In line with the European Care Strategy</w:t>
      </w:r>
      <w:r>
        <w:rPr>
          <w:color w:val="000000"/>
          <w:vertAlign w:val="superscript"/>
        </w:rPr>
        <w:t xml:space="preserve"> </w:t>
      </w:r>
      <w:r>
        <w:rPr>
          <w:color w:val="000000"/>
        </w:rPr>
        <w:t>and complementing the activities of the European Partnership on Transforming Health and Care Systems</w:t>
      </w:r>
      <w:r>
        <w:rPr>
          <w:vertAlign w:val="superscript"/>
        </w:rPr>
        <w:footnoteReference w:id="168"/>
      </w:r>
      <w:r>
        <w:rPr>
          <w:color w:val="000000"/>
        </w:rPr>
        <w:t>, proposals should:</w:t>
      </w:r>
    </w:p>
    <w:p w14:paraId="0ED6C884" w14:textId="77777777" w:rsidR="00D84031" w:rsidRDefault="007965BB" w:rsidP="00C62CF4">
      <w:pPr>
        <w:pStyle w:val="ListParagraph"/>
        <w:numPr>
          <w:ilvl w:val="0"/>
          <w:numId w:val="77"/>
        </w:numPr>
      </w:pPr>
      <w:r>
        <w:rPr>
          <w:color w:val="000000"/>
        </w:rPr>
        <w:t>evaluate the effectiveness of existing national/regional long-term care policies in terms of meeting the current long-term care needs through sufficient and adequately skilled long-term care workers, making formal long-term care affordable, accessible and of high quality; in that respect, evaluate the role of integrated care and the interplay of long-term care and other social services;</w:t>
      </w:r>
    </w:p>
    <w:p w14:paraId="60D7284C" w14:textId="77777777" w:rsidR="00D84031" w:rsidRDefault="007965BB" w:rsidP="00C62CF4">
      <w:pPr>
        <w:pStyle w:val="ListParagraph"/>
        <w:numPr>
          <w:ilvl w:val="0"/>
          <w:numId w:val="77"/>
        </w:numPr>
      </w:pPr>
      <w:r>
        <w:rPr>
          <w:color w:val="000000"/>
        </w:rPr>
        <w:t>develop robust methodologies to model projections until 2070, for long-term care needs and supply including in terms of workforce and types of services, and corresponding public funding needs for at least 15 EU Member States; quantify the cost of non-action in terms of impact on unmet LTC needs, health and well-being outcomes, and missed opportunities for economic returns;</w:t>
      </w:r>
    </w:p>
    <w:p w14:paraId="3931DC3A" w14:textId="77777777" w:rsidR="00D84031" w:rsidRDefault="007965BB" w:rsidP="00C62CF4">
      <w:pPr>
        <w:pStyle w:val="ListParagraph"/>
        <w:numPr>
          <w:ilvl w:val="0"/>
          <w:numId w:val="77"/>
        </w:numPr>
      </w:pPr>
      <w:r>
        <w:rPr>
          <w:color w:val="000000"/>
        </w:rPr>
        <w:t>identify and analyse innovative policy mixes, including based on social innovation, to address long-term care needs and long-term care supply challenges, with available and/or new public/private resources, including by tapping into the potential of digitalisation and new technologies. Aspects for consideration may include addressing workforce and skills shortages by increasing the attractiveness of the long-term care sector through improved working conditions and social protection of the long-term care work</w:t>
      </w:r>
      <w:r>
        <w:rPr>
          <w:color w:val="000000"/>
        </w:rPr>
        <w:t xml:space="preserve">force; the deployment of digital solutions including AI-based; investigating the cost-effectiveness in the use of public budgets for health and social care and the role of private funding in the sector.  </w:t>
      </w:r>
    </w:p>
    <w:p w14:paraId="48DA7722" w14:textId="77777777" w:rsidR="00D84031" w:rsidRDefault="007965BB">
      <w:r>
        <w:rPr>
          <w:color w:val="000000"/>
        </w:rPr>
        <w:lastRenderedPageBreak/>
        <w:t xml:space="preserve">Applicants are encouraged to consider the data offered by European Research Infrastructures in the social sciences domain, </w:t>
      </w:r>
      <w:r>
        <w:rPr>
          <w:vertAlign w:val="superscript"/>
        </w:rPr>
        <w:footnoteReference w:id="169"/>
      </w:r>
      <w:r>
        <w:rPr>
          <w:color w:val="000000"/>
        </w:rPr>
        <w:t xml:space="preserve"> as well as the body of LTC policy analysis developed by the European Commission</w:t>
      </w:r>
      <w:r>
        <w:rPr>
          <w:vertAlign w:val="superscript"/>
        </w:rPr>
        <w:footnoteReference w:id="170"/>
      </w:r>
      <w:r>
        <w:rPr>
          <w:color w:val="000000"/>
        </w:rPr>
        <w:t>. Where applicable, proposals should leverage the data and services available through European Research Infrastructures federated under the European Open Science Cloud (EOSC), as well as data from relevant Data Spaces. Particular efforts should be made to ensure that the data produced in the context of this topic is FAIR (Findable, Accessible, Interoperable and Re-usable).</w:t>
      </w:r>
    </w:p>
    <w:p w14:paraId="001939EF" w14:textId="77777777" w:rsidR="00D84031" w:rsidRDefault="007965BB">
      <w:r>
        <w:rPr>
          <w:color w:val="000000"/>
        </w:rPr>
        <w:t>Applicants aiming to address the implications of demographic changes on health and care systems should check in advance which areas are covered by the Transforming Health and Care Systems partnership and what research the partnership is performing to avoid a duplication of efforts or potential double funding.</w:t>
      </w:r>
    </w:p>
    <w:p w14:paraId="62D02C7C" w14:textId="77777777" w:rsidR="00D84031" w:rsidRDefault="007965BB">
      <w:r>
        <w:rPr>
          <w:color w:val="000000"/>
        </w:rPr>
        <w:t>Proposals should consider the involvement of the European Commission's Joint Research Centre (JRC)</w:t>
      </w:r>
      <w:r>
        <w:rPr>
          <w:vertAlign w:val="superscript"/>
        </w:rPr>
        <w:footnoteReference w:id="171"/>
      </w:r>
      <w:r>
        <w:rPr>
          <w:color w:val="000000"/>
        </w:rPr>
        <w:t xml:space="preserve"> based on its experience and with respect to the value it could bring in providing an effective interface between research activities and policymaking.</w:t>
      </w:r>
    </w:p>
    <w:p w14:paraId="674786C2" w14:textId="77777777" w:rsidR="00D84031" w:rsidRDefault="007965BB">
      <w:r>
        <w:rPr>
          <w:color w:val="000000"/>
        </w:rPr>
        <w:t>Proposals should integrate a gender-sensitive and intersectional approach to address the diverse long-term care policy needs of care-recipients and caregivers.</w:t>
      </w:r>
    </w:p>
    <w:p w14:paraId="3E09B5AA" w14:textId="77777777" w:rsidR="00D84031" w:rsidRDefault="007965BB">
      <w:r>
        <w:rPr>
          <w:color w:val="000000"/>
        </w:rPr>
        <w:t>To maximise impact and avoid unnecessary duplication, proposals should envisage, as appropriate, cooperation with Horizon Europe projects such as the ones funded by the call topic HORIZON-CL2-2022-TRANSFORMATIONS-01-10, “Socio-economic effects of ageing societies”</w:t>
      </w:r>
      <w:r>
        <w:rPr>
          <w:vertAlign w:val="superscript"/>
        </w:rPr>
        <w:footnoteReference w:id="172"/>
      </w:r>
      <w:r>
        <w:rPr>
          <w:color w:val="000000"/>
        </w:rPr>
        <w:t xml:space="preserve"> and the HORIZON-CL2-2023-TRANSFORMATIONS-01-08 call topic entitled “Integrated care solutions leading to better quality, person-centred long-term</w:t>
      </w:r>
      <w:r>
        <w:rPr>
          <w:vertAlign w:val="superscript"/>
        </w:rPr>
        <w:footnoteReference w:id="173"/>
      </w:r>
      <w:r>
        <w:rPr>
          <w:color w:val="000000"/>
        </w:rPr>
        <w:t>.</w:t>
      </w:r>
    </w:p>
    <w:p w14:paraId="158B17E6" w14:textId="77777777" w:rsidR="00D84031" w:rsidRDefault="007965BB">
      <w:pPr>
        <w:pStyle w:val="HeadingThree"/>
      </w:pPr>
      <w:r>
        <w:t>HORIZON-CL2-2026-01-TRANSFO-10: Fostering cooperation and integration between SSH and STEM research and innovation in the EU</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2134F383" w14:textId="77777777" w:rsidTr="00C62CF4">
        <w:tc>
          <w:tcPr>
            <w:tcW w:w="0" w:type="auto"/>
            <w:gridSpan w:val="2"/>
          </w:tcPr>
          <w:p w14:paraId="14207D91" w14:textId="77777777" w:rsidR="00D84031" w:rsidRDefault="007965BB">
            <w:pPr>
              <w:pStyle w:val="CellTextValue"/>
            </w:pPr>
            <w:r>
              <w:rPr>
                <w:b/>
              </w:rPr>
              <w:t>Call: Culture, Creativity and Inclusive Society 2026</w:t>
            </w:r>
          </w:p>
        </w:tc>
      </w:tr>
      <w:tr w:rsidR="00C62CF4" w14:paraId="0E3261FD" w14:textId="77777777" w:rsidTr="00C62CF4">
        <w:tc>
          <w:tcPr>
            <w:tcW w:w="0" w:type="auto"/>
            <w:gridSpan w:val="2"/>
          </w:tcPr>
          <w:p w14:paraId="076EB2D9" w14:textId="77777777" w:rsidR="00D84031" w:rsidRDefault="007965BB">
            <w:pPr>
              <w:pStyle w:val="CellTextValue"/>
            </w:pPr>
            <w:r>
              <w:rPr>
                <w:b/>
              </w:rPr>
              <w:t>Specific conditions</w:t>
            </w:r>
          </w:p>
        </w:tc>
      </w:tr>
      <w:tr w:rsidR="00D84031" w14:paraId="575C604D" w14:textId="77777777">
        <w:tc>
          <w:tcPr>
            <w:tcW w:w="0" w:type="auto"/>
          </w:tcPr>
          <w:p w14:paraId="3DE5CD93" w14:textId="77777777" w:rsidR="00D84031" w:rsidRDefault="007965BB">
            <w:pPr>
              <w:pStyle w:val="CellTextValue"/>
              <w:jc w:val="left"/>
            </w:pPr>
            <w:r>
              <w:rPr>
                <w:i/>
              </w:rPr>
              <w:t>Expected EU contribution per project</w:t>
            </w:r>
          </w:p>
        </w:tc>
        <w:tc>
          <w:tcPr>
            <w:tcW w:w="0" w:type="auto"/>
          </w:tcPr>
          <w:p w14:paraId="340C4FC1" w14:textId="77777777" w:rsidR="00D84031" w:rsidRDefault="007965BB">
            <w:pPr>
              <w:pStyle w:val="CellTextValue"/>
            </w:pPr>
            <w:r>
              <w:t xml:space="preserve">The Commission estimates that an </w:t>
            </w:r>
            <w:r>
              <w:t>EU contribution of around EUR 3.50 million would allow these outcomes to be addressed appropriately. Nonetheless, this does not preclude submission and selection of a proposal requesting different amounts.</w:t>
            </w:r>
          </w:p>
        </w:tc>
      </w:tr>
      <w:tr w:rsidR="00D84031" w14:paraId="2D8325A8" w14:textId="77777777">
        <w:tc>
          <w:tcPr>
            <w:tcW w:w="0" w:type="auto"/>
          </w:tcPr>
          <w:p w14:paraId="0DE744DD" w14:textId="77777777" w:rsidR="00D84031" w:rsidRDefault="007965BB">
            <w:pPr>
              <w:pStyle w:val="CellTextValue"/>
              <w:jc w:val="left"/>
            </w:pPr>
            <w:r>
              <w:rPr>
                <w:i/>
              </w:rPr>
              <w:lastRenderedPageBreak/>
              <w:t>Indicative budget</w:t>
            </w:r>
          </w:p>
        </w:tc>
        <w:tc>
          <w:tcPr>
            <w:tcW w:w="0" w:type="auto"/>
          </w:tcPr>
          <w:p w14:paraId="7C49926C" w14:textId="77777777" w:rsidR="00D84031" w:rsidRDefault="007965BB">
            <w:pPr>
              <w:pStyle w:val="CellTextValue"/>
            </w:pPr>
            <w:r>
              <w:t>The total indicative budget for the topic is EUR 3.50 million.</w:t>
            </w:r>
          </w:p>
        </w:tc>
      </w:tr>
      <w:tr w:rsidR="00D84031" w14:paraId="5D808F26" w14:textId="77777777">
        <w:tc>
          <w:tcPr>
            <w:tcW w:w="0" w:type="auto"/>
          </w:tcPr>
          <w:p w14:paraId="1B487194" w14:textId="77777777" w:rsidR="00D84031" w:rsidRDefault="007965BB">
            <w:pPr>
              <w:pStyle w:val="CellTextValue"/>
              <w:jc w:val="left"/>
            </w:pPr>
            <w:r>
              <w:rPr>
                <w:i/>
              </w:rPr>
              <w:t>Type of Action</w:t>
            </w:r>
          </w:p>
        </w:tc>
        <w:tc>
          <w:tcPr>
            <w:tcW w:w="0" w:type="auto"/>
          </w:tcPr>
          <w:p w14:paraId="453A028C" w14:textId="77777777" w:rsidR="00D84031" w:rsidRDefault="007965BB">
            <w:pPr>
              <w:pStyle w:val="CellTextValue"/>
            </w:pPr>
            <w:r>
              <w:rPr>
                <w:color w:val="000000"/>
              </w:rPr>
              <w:t>Coordination and Support Actions</w:t>
            </w:r>
          </w:p>
        </w:tc>
      </w:tr>
      <w:tr w:rsidR="00D84031" w14:paraId="4F57E00C" w14:textId="77777777">
        <w:tc>
          <w:tcPr>
            <w:tcW w:w="0" w:type="auto"/>
          </w:tcPr>
          <w:p w14:paraId="280079ED" w14:textId="77777777" w:rsidR="00D84031" w:rsidRDefault="007965BB">
            <w:pPr>
              <w:pStyle w:val="CellTextValue"/>
              <w:jc w:val="left"/>
            </w:pPr>
            <w:r>
              <w:rPr>
                <w:i/>
              </w:rPr>
              <w:t>Procedure</w:t>
            </w:r>
          </w:p>
        </w:tc>
        <w:tc>
          <w:tcPr>
            <w:tcW w:w="0" w:type="auto"/>
          </w:tcPr>
          <w:p w14:paraId="355239C3" w14:textId="77777777" w:rsidR="00D84031" w:rsidRDefault="007965BB">
            <w:pPr>
              <w:pStyle w:val="CellTextValue"/>
            </w:pPr>
            <w:r>
              <w:rPr>
                <w:color w:val="000000"/>
              </w:rPr>
              <w:t>The procedure is described in General Annex F. The following exceptions apply:</w:t>
            </w:r>
          </w:p>
          <w:p w14:paraId="2E7EBE50" w14:textId="77777777" w:rsidR="00D84031" w:rsidRDefault="007965BB">
            <w:pPr>
              <w:pStyle w:val="CellTextValue"/>
            </w:pPr>
            <w:r>
              <w:rPr>
                <w:color w:val="000000"/>
              </w:rPr>
              <w:t>The granting authority can fund a maximum of one project.</w:t>
            </w:r>
          </w:p>
        </w:tc>
      </w:tr>
      <w:tr w:rsidR="00D84031" w14:paraId="0FB6CDBC" w14:textId="77777777">
        <w:tc>
          <w:tcPr>
            <w:tcW w:w="0" w:type="auto"/>
          </w:tcPr>
          <w:p w14:paraId="793B1628" w14:textId="77777777" w:rsidR="00D84031" w:rsidRDefault="007965BB">
            <w:pPr>
              <w:pStyle w:val="CellTextValue"/>
              <w:jc w:val="left"/>
            </w:pPr>
            <w:r>
              <w:rPr>
                <w:i/>
              </w:rPr>
              <w:t xml:space="preserve">Legal and </w:t>
            </w:r>
            <w:r>
              <w:rPr>
                <w:i/>
              </w:rPr>
              <w:t>financial set-up of the Grant Agreements</w:t>
            </w:r>
          </w:p>
        </w:tc>
        <w:tc>
          <w:tcPr>
            <w:tcW w:w="0" w:type="auto"/>
          </w:tcPr>
          <w:p w14:paraId="6ACDE8A7" w14:textId="77777777" w:rsidR="00D84031" w:rsidRDefault="007965BB">
            <w:pPr>
              <w:pStyle w:val="CellTextValue"/>
            </w:pPr>
            <w:r>
              <w:rPr>
                <w:color w:val="000000"/>
              </w:rPr>
              <w:t>The rules are described in General Annex G. The following exceptions apply:</w:t>
            </w:r>
          </w:p>
          <w:p w14:paraId="78632CB3"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74"/>
            </w:r>
            <w:r>
              <w:rPr>
                <w:color w:val="000000"/>
              </w:rPr>
              <w:t>.</w:t>
            </w:r>
          </w:p>
        </w:tc>
      </w:tr>
    </w:tbl>
    <w:p w14:paraId="72FF5EC4" w14:textId="77777777" w:rsidR="00D84031" w:rsidRDefault="00D84031">
      <w:pPr>
        <w:spacing w:after="0" w:line="150" w:lineRule="auto"/>
      </w:pPr>
    </w:p>
    <w:p w14:paraId="49E36B41" w14:textId="77777777" w:rsidR="00D84031" w:rsidRDefault="007965BB">
      <w:r>
        <w:rPr>
          <w:u w:val="single"/>
        </w:rPr>
        <w:t>Expected Outcome</w:t>
      </w:r>
      <w:r>
        <w:t xml:space="preserve">: </w:t>
      </w:r>
      <w:r>
        <w:rPr>
          <w:color w:val="000000"/>
        </w:rPr>
        <w:t>Projects should contribute to all of the following expected outcomes:</w:t>
      </w:r>
    </w:p>
    <w:p w14:paraId="349685BD" w14:textId="77777777" w:rsidR="00D84031" w:rsidRDefault="007965BB" w:rsidP="00C62CF4">
      <w:pPr>
        <w:pStyle w:val="ListParagraph"/>
        <w:numPr>
          <w:ilvl w:val="0"/>
          <w:numId w:val="78"/>
        </w:numPr>
      </w:pPr>
      <w:r>
        <w:rPr>
          <w:color w:val="000000"/>
        </w:rPr>
        <w:t>Greater integration of SSH and STEM</w:t>
      </w:r>
      <w:r>
        <w:rPr>
          <w:vertAlign w:val="superscript"/>
        </w:rPr>
        <w:footnoteReference w:id="175"/>
      </w:r>
      <w:r>
        <w:rPr>
          <w:color w:val="000000"/>
        </w:rPr>
        <w:t xml:space="preserve"> research and innovation in R&amp;I initiatives funded at EU level, national and/or regional level, as well as in R&amp;I policies by promoting dialogue, mutual learning and strategic cooperation among research funders and policy makers in the EU.</w:t>
      </w:r>
    </w:p>
    <w:p w14:paraId="0D95776F" w14:textId="77777777" w:rsidR="00D84031" w:rsidRDefault="007965BB" w:rsidP="00C62CF4">
      <w:pPr>
        <w:pStyle w:val="ListParagraph"/>
        <w:numPr>
          <w:ilvl w:val="0"/>
          <w:numId w:val="78"/>
        </w:numPr>
      </w:pPr>
      <w:r>
        <w:rPr>
          <w:color w:val="000000"/>
        </w:rPr>
        <w:t xml:space="preserve">Developing and maintaining a new, common, comprehensive ‘Monitoring and Impact Evaluation Framework’ for SSH integration in current and future EU R&amp;I initiatives. </w:t>
      </w:r>
    </w:p>
    <w:p w14:paraId="3A1393A6" w14:textId="77777777" w:rsidR="00D84031" w:rsidRDefault="007965BB">
      <w:r>
        <w:rPr>
          <w:color w:val="000000"/>
        </w:rPr>
        <w:t xml:space="preserve">Enhanced facilitation of knowledge exploitation and support to the cooperation between projects and stakeholders, as well as R&amp;I policies involved in projects and other types of cross-border networks dealing with SSH and STEM research and innovation. </w:t>
      </w:r>
    </w:p>
    <w:p w14:paraId="1C14153C" w14:textId="77777777" w:rsidR="00D84031" w:rsidRDefault="007965BB">
      <w:r>
        <w:rPr>
          <w:u w:val="single"/>
        </w:rPr>
        <w:t>Scope</w:t>
      </w:r>
      <w:r>
        <w:t xml:space="preserve">: </w:t>
      </w:r>
      <w:r>
        <w:rPr>
          <w:color w:val="000000"/>
        </w:rPr>
        <w:t>As mentioned in the Report ‘Align, Act, Accelerate: Research, Technology and Innovation to boost European Competitiveness’</w:t>
      </w:r>
      <w:r>
        <w:rPr>
          <w:vertAlign w:val="superscript"/>
        </w:rPr>
        <w:footnoteReference w:id="176"/>
      </w:r>
      <w:r>
        <w:rPr>
          <w:color w:val="000000"/>
        </w:rPr>
        <w:t xml:space="preserve">, European RD&amp;I can provide a new understanding of and solutions to tackle societal challenges. Social sciences and humanities (SSH) and Science, Technology, Engineering and Maths (STEM) improve the research activities, outcomes and impacts of Horizon Europe, because they enable a greater understanding of societal and competitiveness benefits. The cooperation of SSH and STEM in through trans- and interdisciplinary science is part of a science that is excellent, as it not only </w:t>
      </w:r>
      <w:r>
        <w:rPr>
          <w:color w:val="000000"/>
        </w:rPr>
        <w:lastRenderedPageBreak/>
        <w:t>delivers excellence in the tech</w:t>
      </w:r>
      <w:r>
        <w:rPr>
          <w:color w:val="000000"/>
        </w:rPr>
        <w:t>nical aspects, but also in taking account different societal needs. Thus, there is need for a leading role at European level for this cooperation.</w:t>
      </w:r>
    </w:p>
    <w:p w14:paraId="497F4EAD" w14:textId="77777777" w:rsidR="00D84031" w:rsidRDefault="007965BB">
      <w:r>
        <w:rPr>
          <w:color w:val="000000"/>
        </w:rPr>
        <w:t>Proposals are expected to create an SSH-STEM Action, that focusses on SSH-STEM monitoring, SSH-STEM facilitation and SSH-STEM promotion, at European level, which should also include all the following aspects:</w:t>
      </w:r>
    </w:p>
    <w:p w14:paraId="33FA1F4F" w14:textId="77777777" w:rsidR="00D84031" w:rsidRDefault="007965BB">
      <w:r>
        <w:rPr>
          <w:b/>
          <w:color w:val="000000"/>
        </w:rPr>
        <w:t>1. Monitoring</w:t>
      </w:r>
      <w:r>
        <w:rPr>
          <w:color w:val="000000"/>
        </w:rPr>
        <w:t>:</w:t>
      </w:r>
    </w:p>
    <w:p w14:paraId="1D8FF916" w14:textId="77777777" w:rsidR="00D84031" w:rsidRDefault="007965BB">
      <w:r>
        <w:rPr>
          <w:color w:val="000000"/>
        </w:rPr>
        <w:t>Monitoring is a major aspect of the essential activities</w:t>
      </w:r>
      <w:r>
        <w:rPr>
          <w:vertAlign w:val="superscript"/>
        </w:rPr>
        <w:footnoteReference w:id="177"/>
      </w:r>
      <w:r>
        <w:rPr>
          <w:color w:val="000000"/>
        </w:rPr>
        <w:t xml:space="preserve">. </w:t>
      </w:r>
    </w:p>
    <w:p w14:paraId="37537D3C" w14:textId="77777777" w:rsidR="00D84031" w:rsidRDefault="007965BB">
      <w:r>
        <w:rPr>
          <w:color w:val="000000"/>
        </w:rPr>
        <w:t xml:space="preserve">The action should create a new strategy in the first year of the project with the aim to develop and to monitor the SSH-STEM research cooperation (e.g. A.I. search tools). This monitoring strategy should meet the following requirements: </w:t>
      </w:r>
    </w:p>
    <w:p w14:paraId="18F84223" w14:textId="77777777" w:rsidR="00D84031" w:rsidRDefault="007965BB" w:rsidP="00C62CF4">
      <w:pPr>
        <w:pStyle w:val="ListParagraph"/>
        <w:numPr>
          <w:ilvl w:val="0"/>
          <w:numId w:val="79"/>
        </w:numPr>
      </w:pPr>
      <w:r>
        <w:rPr>
          <w:color w:val="000000"/>
        </w:rPr>
        <w:t xml:space="preserve">        </w:t>
      </w:r>
    </w:p>
    <w:p w14:paraId="070DFC4E" w14:textId="77777777" w:rsidR="00D84031" w:rsidRDefault="007965BB" w:rsidP="00C62CF4">
      <w:pPr>
        <w:pStyle w:val="ListParagraph"/>
        <w:numPr>
          <w:ilvl w:val="1"/>
          <w:numId w:val="79"/>
        </w:numPr>
      </w:pPr>
      <w:r>
        <w:rPr>
          <w:color w:val="000000"/>
        </w:rPr>
        <w:t xml:space="preserve">Applicants should provide a clear justification of what significant steps forward they propose regarding methodology compared to previous reporting on SSH-STEM collaboration (see relevant reports), data management, analytical methods, data collection. Robust open data driven approaches are strongly encouraged.    </w:t>
      </w:r>
    </w:p>
    <w:p w14:paraId="3E94E9AB" w14:textId="77777777" w:rsidR="00D84031" w:rsidRDefault="007965BB" w:rsidP="00C62CF4">
      <w:pPr>
        <w:pStyle w:val="ListParagraph"/>
        <w:numPr>
          <w:ilvl w:val="1"/>
          <w:numId w:val="79"/>
        </w:numPr>
      </w:pPr>
      <w:r>
        <w:rPr>
          <w:color w:val="000000"/>
        </w:rPr>
        <w:t xml:space="preserve">Applicants should describe what steps they will undertake to ensure the delivery of reporting on a yearly basis, which should include the data collection, data analysis, and interpretation of SSH-STEM related cooperation data (in EU-funded projects in Horizon Europe where there is SSH-STEM cooperation).   </w:t>
      </w:r>
    </w:p>
    <w:p w14:paraId="71D51AD6" w14:textId="77777777" w:rsidR="00D84031" w:rsidRDefault="007965BB">
      <w:r>
        <w:rPr>
          <w:color w:val="000000"/>
        </w:rPr>
        <w:t xml:space="preserve">2. </w:t>
      </w:r>
      <w:r>
        <w:rPr>
          <w:b/>
          <w:color w:val="000000"/>
        </w:rPr>
        <w:t>Facilitation and promotion</w:t>
      </w:r>
      <w:r>
        <w:rPr>
          <w:color w:val="000000"/>
        </w:rPr>
        <w:t>:</w:t>
      </w:r>
    </w:p>
    <w:p w14:paraId="17737C28" w14:textId="77777777" w:rsidR="00D84031" w:rsidRDefault="007965BB">
      <w:r>
        <w:rPr>
          <w:color w:val="000000"/>
        </w:rPr>
        <w:t>Applicants should develop guidelines for SSH-STEM cooperation and support stakeholders in their projects when SSH-STEM cooperation is possible within the project, with a focus on increasing the quality and depth of cooperation and applying cooperation where most relevant. Applicants are encouraged to propose approaches, such as training to researchers on how to best integrate either STEM or SSH into their research. In addition, applicants should take into account the collaboration within SSH sciences on the</w:t>
      </w:r>
      <w:r>
        <w:rPr>
          <w:color w:val="000000"/>
        </w:rPr>
        <w:t xml:space="preserve">ir own, as well as attention for not only quantitative SSH disciplines, but also qualitative SSH. </w:t>
      </w:r>
    </w:p>
    <w:p w14:paraId="446EBA1C" w14:textId="77777777" w:rsidR="00D84031" w:rsidRDefault="007965BB">
      <w:r>
        <w:rPr>
          <w:color w:val="000000"/>
        </w:rPr>
        <w:t>The action should organize an annual event showcasing SSH and STEM cooperation; with exchanges with / for policy makers, best practice examples and showcasing funded projects/ programs at EU, national and other levels.</w:t>
      </w:r>
    </w:p>
    <w:p w14:paraId="66E6AB1F" w14:textId="77777777" w:rsidR="00D84031" w:rsidRDefault="007965BB">
      <w:r>
        <w:rPr>
          <w:color w:val="000000"/>
        </w:rPr>
        <w:t xml:space="preserve">The action is also expected to provide a quantitative and qualitative R&amp;D evidence base on how to ensure that policies (including funding) aimed at stimulating research &amp; innovation are appropriate for the sectors which have the greatest potential to contribute to Europe’s </w:t>
      </w:r>
      <w:r>
        <w:rPr>
          <w:color w:val="000000"/>
        </w:rPr>
        <w:lastRenderedPageBreak/>
        <w:t xml:space="preserve">competitiveness. Applicants should propose evaluation metrics for SSH-STEM cooperation within research projects. </w:t>
      </w:r>
    </w:p>
    <w:p w14:paraId="3A3FB421" w14:textId="77777777" w:rsidR="00D84031" w:rsidRDefault="007965BB">
      <w:r>
        <w:rPr>
          <w:b/>
          <w:color w:val="000000"/>
        </w:rPr>
        <w:t>3. SSH/ STEM Science for Policy</w:t>
      </w:r>
      <w:r>
        <w:rPr>
          <w:color w:val="000000"/>
        </w:rPr>
        <w:t>:</w:t>
      </w:r>
    </w:p>
    <w:p w14:paraId="38EE3719" w14:textId="77777777" w:rsidR="00D84031" w:rsidRDefault="007965BB">
      <w:r>
        <w:rPr>
          <w:color w:val="000000"/>
        </w:rPr>
        <w:t>An important part of promotion is that the action acts as an SSH/ Science for policy exchange as well, providing the European Commission with feedback and advice on SSH-STEM cooperation, and informing the European Commission of the latest developments in SSH-STEM cooperation (which is why the inclusion of SSH experts is of the upmost importance).</w:t>
      </w:r>
    </w:p>
    <w:p w14:paraId="25C47D25" w14:textId="77777777" w:rsidR="00D84031" w:rsidRDefault="007965BB">
      <w:r>
        <w:rPr>
          <w:color w:val="000000"/>
        </w:rPr>
        <w:t xml:space="preserve">The </w:t>
      </w:r>
      <w:r>
        <w:rPr>
          <w:color w:val="000000"/>
        </w:rPr>
        <w:t>action is expected to be a forum that promotes dialogue and cooperation among research funders and policy makers in the EU (linked to the European Research Area) and beyond to further the integration of SSH and STEM in EU-funded R&amp;I initiatives.</w:t>
      </w:r>
    </w:p>
    <w:p w14:paraId="7E01BDB8" w14:textId="77777777" w:rsidR="00D84031" w:rsidRDefault="007965BB">
      <w:r>
        <w:rPr>
          <w:color w:val="000000"/>
        </w:rPr>
        <w:t xml:space="preserve">The action should provide monitoring guidance in SSH and STEM cooperation in R&amp;I programmes at national/regional and European level. </w:t>
      </w:r>
    </w:p>
    <w:p w14:paraId="23D82E69" w14:textId="77777777" w:rsidR="00D84031" w:rsidRDefault="007965BB">
      <w:r>
        <w:rPr>
          <w:color w:val="000000"/>
        </w:rPr>
        <w:t>The consortium should contribute to the priorities of the European Research Area, the EU Competitiveness Compass to strengthen the EU competitiveness and resilience. The consortium is expected to liaise with the two Cluster 2 co-funded European Partnerships and look into successful SSH integration projects and initiatives funded at EU level.</w:t>
      </w:r>
    </w:p>
    <w:p w14:paraId="377941A5" w14:textId="77777777" w:rsidR="00D84031" w:rsidRDefault="007965BB">
      <w:r>
        <w:rPr>
          <w:color w:val="000000"/>
        </w:rPr>
        <w:t>The action should recognize the diversity within SSH disciplines and their differing levels of integration with STEM. It should include targeted strategies to increase humanities’ participation alongside qualitative and quantitative social sciences to ensure balanced SSH representation. STEM domain prioritization should be driven by thematic relevance and feasibility for SSH cooperation.</w:t>
      </w:r>
    </w:p>
    <w:p w14:paraId="41D82611" w14:textId="77777777" w:rsidR="00D84031" w:rsidRDefault="007965BB">
      <w:r>
        <w:rPr>
          <w:color w:val="000000"/>
        </w:rPr>
        <w:t>Projects should adopt a gender-sensitive and intersectional approach when integrating SSH and STEM. This means considering a variety of societal needs and perspectives to ensure inclusivity and equality in research and innovation in EU and national R&amp;I policies.</w:t>
      </w:r>
    </w:p>
    <w:p w14:paraId="1C392CD3" w14:textId="77777777" w:rsidR="00D84031" w:rsidRDefault="007965BB">
      <w:pPr>
        <w:pStyle w:val="HeadingThree"/>
      </w:pPr>
      <w:r>
        <w:t>HORIZON-CL2-2027-01-TRANSFO-01: How does access to nature-positive environments promote social cohesion and reduce inequalities in urban and peri-urban settings?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669C4C36" w14:textId="77777777" w:rsidTr="00C62CF4">
        <w:tc>
          <w:tcPr>
            <w:tcW w:w="0" w:type="auto"/>
            <w:gridSpan w:val="2"/>
          </w:tcPr>
          <w:p w14:paraId="58795B8A" w14:textId="77777777" w:rsidR="00D84031" w:rsidRDefault="007965BB">
            <w:pPr>
              <w:pStyle w:val="CellTextValue"/>
            </w:pPr>
            <w:r>
              <w:rPr>
                <w:b/>
              </w:rPr>
              <w:t>Call: Culture, Creativity and Inclusive Society - 2027</w:t>
            </w:r>
          </w:p>
        </w:tc>
      </w:tr>
      <w:tr w:rsidR="00C62CF4" w14:paraId="75F84DCE" w14:textId="77777777" w:rsidTr="00C62CF4">
        <w:tc>
          <w:tcPr>
            <w:tcW w:w="0" w:type="auto"/>
            <w:gridSpan w:val="2"/>
          </w:tcPr>
          <w:p w14:paraId="15249E8B" w14:textId="77777777" w:rsidR="00D84031" w:rsidRDefault="007965BB">
            <w:pPr>
              <w:pStyle w:val="CellTextValue"/>
            </w:pPr>
            <w:r>
              <w:rPr>
                <w:b/>
              </w:rPr>
              <w:t>Specific conditions</w:t>
            </w:r>
          </w:p>
        </w:tc>
      </w:tr>
      <w:tr w:rsidR="00D84031" w14:paraId="1DAE6CFE" w14:textId="77777777">
        <w:tc>
          <w:tcPr>
            <w:tcW w:w="0" w:type="auto"/>
          </w:tcPr>
          <w:p w14:paraId="51CDD51E" w14:textId="77777777" w:rsidR="00D84031" w:rsidRDefault="007965BB">
            <w:pPr>
              <w:pStyle w:val="CellTextValue"/>
              <w:jc w:val="left"/>
            </w:pPr>
            <w:r>
              <w:rPr>
                <w:i/>
              </w:rPr>
              <w:t>Expected EU contribution per project</w:t>
            </w:r>
          </w:p>
        </w:tc>
        <w:tc>
          <w:tcPr>
            <w:tcW w:w="0" w:type="auto"/>
          </w:tcPr>
          <w:p w14:paraId="6075AE59" w14:textId="77777777" w:rsidR="00D84031" w:rsidRDefault="007965BB">
            <w:pPr>
              <w:pStyle w:val="CellTextValue"/>
            </w:pPr>
            <w:r>
              <w:t xml:space="preserve">The Commission estimates that an EU contribution of between EUR 3.00 and 4.00 million would allow these outcomes to be </w:t>
            </w:r>
            <w:r>
              <w:t>addressed appropriately. Nonetheless, this does not preclude submission and selection of a proposal requesting different amounts.</w:t>
            </w:r>
          </w:p>
        </w:tc>
      </w:tr>
      <w:tr w:rsidR="00D84031" w14:paraId="1CCC1CEA" w14:textId="77777777">
        <w:tc>
          <w:tcPr>
            <w:tcW w:w="0" w:type="auto"/>
          </w:tcPr>
          <w:p w14:paraId="47980BE3" w14:textId="77777777" w:rsidR="00D84031" w:rsidRDefault="007965BB">
            <w:pPr>
              <w:pStyle w:val="CellTextValue"/>
              <w:jc w:val="left"/>
            </w:pPr>
            <w:r>
              <w:rPr>
                <w:i/>
              </w:rPr>
              <w:t>Indicative budget</w:t>
            </w:r>
          </w:p>
        </w:tc>
        <w:tc>
          <w:tcPr>
            <w:tcW w:w="0" w:type="auto"/>
          </w:tcPr>
          <w:p w14:paraId="2F0CE579" w14:textId="77777777" w:rsidR="00D84031" w:rsidRDefault="007965BB">
            <w:pPr>
              <w:pStyle w:val="CellTextValue"/>
            </w:pPr>
            <w:r>
              <w:t>The total indicative budget for the topic is EUR 12.00 million.</w:t>
            </w:r>
          </w:p>
        </w:tc>
      </w:tr>
      <w:tr w:rsidR="00D84031" w14:paraId="2A1B109A" w14:textId="77777777">
        <w:tc>
          <w:tcPr>
            <w:tcW w:w="0" w:type="auto"/>
          </w:tcPr>
          <w:p w14:paraId="5D7DFB32" w14:textId="77777777" w:rsidR="00D84031" w:rsidRDefault="007965BB">
            <w:pPr>
              <w:pStyle w:val="CellTextValue"/>
              <w:jc w:val="left"/>
            </w:pPr>
            <w:r>
              <w:rPr>
                <w:i/>
              </w:rPr>
              <w:t>Type of Action</w:t>
            </w:r>
          </w:p>
        </w:tc>
        <w:tc>
          <w:tcPr>
            <w:tcW w:w="0" w:type="auto"/>
          </w:tcPr>
          <w:p w14:paraId="451AA43A" w14:textId="77777777" w:rsidR="00D84031" w:rsidRDefault="007965BB">
            <w:pPr>
              <w:pStyle w:val="CellTextValue"/>
            </w:pPr>
            <w:r>
              <w:rPr>
                <w:color w:val="000000"/>
              </w:rPr>
              <w:t xml:space="preserve">Research and </w:t>
            </w:r>
            <w:r>
              <w:rPr>
                <w:color w:val="000000"/>
              </w:rPr>
              <w:t>Innovation Actions</w:t>
            </w:r>
          </w:p>
        </w:tc>
      </w:tr>
      <w:tr w:rsidR="00D84031" w14:paraId="218D5A30" w14:textId="77777777">
        <w:tc>
          <w:tcPr>
            <w:tcW w:w="0" w:type="auto"/>
          </w:tcPr>
          <w:p w14:paraId="6B589B04" w14:textId="77777777" w:rsidR="00D84031" w:rsidRDefault="007965BB">
            <w:pPr>
              <w:pStyle w:val="CellTextValue"/>
              <w:jc w:val="left"/>
            </w:pPr>
            <w:r>
              <w:rPr>
                <w:i/>
              </w:rPr>
              <w:lastRenderedPageBreak/>
              <w:t>Legal and financial set-up of the Grant Agreements</w:t>
            </w:r>
          </w:p>
        </w:tc>
        <w:tc>
          <w:tcPr>
            <w:tcW w:w="0" w:type="auto"/>
          </w:tcPr>
          <w:p w14:paraId="413FD5B3" w14:textId="77777777" w:rsidR="00D84031" w:rsidRDefault="007965BB">
            <w:pPr>
              <w:pStyle w:val="CellTextValue"/>
            </w:pPr>
            <w:r>
              <w:rPr>
                <w:color w:val="000000"/>
              </w:rPr>
              <w:t>The rules are described in General Annex G. The following exceptions apply:</w:t>
            </w:r>
          </w:p>
          <w:p w14:paraId="48F60792"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78"/>
            </w:r>
            <w:r>
              <w:rPr>
                <w:color w:val="000000"/>
              </w:rPr>
              <w:t>.</w:t>
            </w:r>
          </w:p>
        </w:tc>
      </w:tr>
    </w:tbl>
    <w:p w14:paraId="46C9975D" w14:textId="77777777" w:rsidR="00D84031" w:rsidRDefault="00D84031">
      <w:pPr>
        <w:spacing w:after="0" w:line="150" w:lineRule="auto"/>
      </w:pPr>
    </w:p>
    <w:p w14:paraId="3EC09FE7" w14:textId="77777777" w:rsidR="00D84031" w:rsidRDefault="007965BB">
      <w:r>
        <w:rPr>
          <w:u w:val="single"/>
        </w:rPr>
        <w:t>Expected Outcome</w:t>
      </w:r>
      <w:r>
        <w:t xml:space="preserve">: </w:t>
      </w:r>
      <w:r>
        <w:rPr>
          <w:color w:val="000000"/>
        </w:rPr>
        <w:t>Projects should contribute to all of the following expected outcomes:</w:t>
      </w:r>
    </w:p>
    <w:p w14:paraId="7EC347F1" w14:textId="77777777" w:rsidR="00D84031" w:rsidRDefault="007965BB" w:rsidP="00C62CF4">
      <w:pPr>
        <w:pStyle w:val="ListParagraph"/>
        <w:numPr>
          <w:ilvl w:val="0"/>
          <w:numId w:val="80"/>
        </w:numPr>
      </w:pPr>
      <w:r>
        <w:rPr>
          <w:color w:val="000000"/>
        </w:rPr>
        <w:t>Policymakers and civil society organisations will have robust evidence on whether inclusive management of (peri-)urban environmental commons fosters climate and societal resilience, social inclusion, wellbeing and community participation, and whether lack of access to green and/or blue spaces exacerbates existing social inequalities (e.g. poverty, marginalisation, and low community wellbeing among vulnerable groups) and people’s sense of inequality and insecurity.</w:t>
      </w:r>
    </w:p>
    <w:p w14:paraId="24ABDF64" w14:textId="77777777" w:rsidR="00D84031" w:rsidRDefault="007965BB" w:rsidP="00C62CF4">
      <w:pPr>
        <w:pStyle w:val="ListParagraph"/>
        <w:numPr>
          <w:ilvl w:val="0"/>
          <w:numId w:val="80"/>
        </w:numPr>
      </w:pPr>
      <w:r>
        <w:rPr>
          <w:color w:val="000000"/>
        </w:rPr>
        <w:t>Development of strategies and innovative solutions to quantify and integrate the distributional aspects of access to quality green and/or blue spaces into integrated spatial planning, accounting for non-market values when making decisions about long-term land use and (peri-) urban development with the aim of supporting ecosystem restoration/preservation in the face of competing pressures and on-going change both in Europe and outside, while achieving a fair and equitable relationship between social groups a</w:t>
      </w:r>
      <w:r>
        <w:rPr>
          <w:color w:val="000000"/>
        </w:rPr>
        <w:t xml:space="preserve">nd the environment.  </w:t>
      </w:r>
    </w:p>
    <w:p w14:paraId="70A5B619" w14:textId="77777777" w:rsidR="00D84031" w:rsidRDefault="007965BB">
      <w:r>
        <w:rPr>
          <w:u w:val="single"/>
        </w:rPr>
        <w:t>Scope</w:t>
      </w:r>
      <w:r>
        <w:t xml:space="preserve">: </w:t>
      </w:r>
      <w:r>
        <w:rPr>
          <w:color w:val="000000"/>
        </w:rPr>
        <w:t>Proposals should focus on exploring and better understanding the relationships between access to quality green and/or blue spaces in the pursuit of social and environmental justice, community cohesion and overall social fabric. Proposals may also look at how to support fair transitions to climate-resilient communities from a climate adaptation perspective, ensuring a link to cohesion and social resilience. Targets for urban ecosystem restoration under the EU Nature Restoration Regulation</w:t>
      </w:r>
      <w:r>
        <w:rPr>
          <w:vertAlign w:val="superscript"/>
        </w:rPr>
        <w:footnoteReference w:id="179"/>
      </w:r>
      <w:r>
        <w:rPr>
          <w:color w:val="000000"/>
        </w:rPr>
        <w:t xml:space="preserve"> should be taken into account. Synergies with the EU Urban Agenda may also be considered.</w:t>
      </w:r>
    </w:p>
    <w:p w14:paraId="2047D4D2" w14:textId="77777777" w:rsidR="00D84031" w:rsidRDefault="007965BB">
      <w:r>
        <w:rPr>
          <w:color w:val="000000"/>
        </w:rPr>
        <w:t>Research to date has largely focused on the benefits of nature on individuals (e.g., improved health, reduced stress), while more and up-to-date knowledge is needed on their effects at a societal level and across cultural, geographical and socioeconomic contexts as well as the range of functional needs of different groups.</w:t>
      </w:r>
    </w:p>
    <w:p w14:paraId="7EBC39F4" w14:textId="77777777" w:rsidR="00D84031" w:rsidRDefault="007965BB">
      <w:r>
        <w:rPr>
          <w:color w:val="000000"/>
        </w:rPr>
        <w:t xml:space="preserve">This topic aims to bridge the knowledge gaps surrounding a fair and equitable relationship between social groups and the environment, in particular the link between nature-as a public </w:t>
      </w:r>
      <w:r>
        <w:rPr>
          <w:color w:val="000000"/>
        </w:rPr>
        <w:lastRenderedPageBreak/>
        <w:t>good and its role in fostering civic engagement that cultivates social cohesion, community wellbeing, shared identity and sense of belonging and place-making.</w:t>
      </w:r>
    </w:p>
    <w:p w14:paraId="1608324A" w14:textId="77777777" w:rsidR="00D84031" w:rsidRDefault="007965BB">
      <w:r>
        <w:rPr>
          <w:color w:val="000000"/>
        </w:rPr>
        <w:t>Studies show that disadvantaged communities have fewer and lower-quality green and/or blue spaces, but less is known about the mechanisms through which access to nature-positive spaces strengthens cultural identities (at the individual and group levels), cohesion and resilience, particularly in lower-income communities and across generations.</w:t>
      </w:r>
    </w:p>
    <w:p w14:paraId="537E030B" w14:textId="77777777" w:rsidR="00D84031" w:rsidRDefault="007965BB">
      <w:r>
        <w:rPr>
          <w:color w:val="000000"/>
        </w:rPr>
        <w:t>Proposals may explore:</w:t>
      </w:r>
    </w:p>
    <w:p w14:paraId="2447A5BF" w14:textId="77777777" w:rsidR="00D84031" w:rsidRDefault="007965BB" w:rsidP="00C62CF4">
      <w:pPr>
        <w:pStyle w:val="ListParagraph"/>
        <w:numPr>
          <w:ilvl w:val="0"/>
          <w:numId w:val="81"/>
        </w:numPr>
      </w:pPr>
      <w:r>
        <w:rPr>
          <w:color w:val="000000"/>
        </w:rPr>
        <w:t xml:space="preserve">The community-level impacts of initiatives aiming to introduce green and/or blue spaces and an </w:t>
      </w:r>
      <w:r>
        <w:rPr>
          <w:color w:val="000000"/>
        </w:rPr>
        <w:t>understanding of how intentional design and planning can help improve societal outcomes throughout the community, with special attention to how socially vulnerable groups may be impacted, which types of natural spaces are used for which activities and what distance constitutes 'accessible' or sufficient to promote social contact. When considering the notion of access to quality green and blue spaces, researchers should consider not only the physical distance to these spaces, but other barriers such as the s</w:t>
      </w:r>
      <w:r>
        <w:rPr>
          <w:color w:val="000000"/>
        </w:rPr>
        <w:t>tate of desolation of public green and/or blue spaces, privatisation, as well as cultural, social, economic barriers to access nature.</w:t>
      </w:r>
    </w:p>
    <w:p w14:paraId="6BAE67AD" w14:textId="77777777" w:rsidR="00D84031" w:rsidRDefault="007965BB" w:rsidP="00C62CF4">
      <w:pPr>
        <w:pStyle w:val="ListParagraph"/>
        <w:numPr>
          <w:ilvl w:val="0"/>
          <w:numId w:val="81"/>
        </w:numPr>
      </w:pPr>
      <w:r>
        <w:rPr>
          <w:color w:val="000000"/>
        </w:rPr>
        <w:t>Knowledge gaps around the long-term impacts of lack of access to quality green and/or blue spaces, and how this amplifies existing socioeconomic inequalities, in particular the intersection with other determining factors of sociopsychological and mental wellbeing such as age, education, employment, housing, health, mobility and socioeconomic status, including aspects around ease of access, affordability and capacity to empower communities, particularly among vulnerable groups (such as marginalised urban com</w:t>
      </w:r>
      <w:r>
        <w:rPr>
          <w:color w:val="000000"/>
        </w:rPr>
        <w:t>munities, including migrants and informal settlements).</w:t>
      </w:r>
    </w:p>
    <w:p w14:paraId="1CCC4924" w14:textId="77777777" w:rsidR="00D84031" w:rsidRDefault="007965BB" w:rsidP="00C62CF4">
      <w:pPr>
        <w:pStyle w:val="ListParagraph"/>
        <w:numPr>
          <w:ilvl w:val="0"/>
          <w:numId w:val="81"/>
        </w:numPr>
      </w:pPr>
      <w:r>
        <w:rPr>
          <w:color w:val="000000"/>
        </w:rPr>
        <w:t>The role that community-based projects – for example those aimed at social participation and inclusion, environmental preservation, circular economy and food security, and preserving natural heritage (e.g., urban gardening, traditional ecological knowledge practices, rewilding, nature conservation, nature-based solutions and citizen science) – play in strengthening community agency, identity, place attachment, and sociopsychological, mental and material well-being and social capital.</w:t>
      </w:r>
    </w:p>
    <w:p w14:paraId="641EB621" w14:textId="77777777" w:rsidR="00D84031" w:rsidRDefault="007965BB" w:rsidP="00C62CF4">
      <w:pPr>
        <w:pStyle w:val="ListParagraph"/>
        <w:numPr>
          <w:ilvl w:val="0"/>
          <w:numId w:val="81"/>
        </w:numPr>
      </w:pPr>
      <w:r>
        <w:rPr>
          <w:color w:val="000000"/>
        </w:rPr>
        <w:t>The role of green and/or blue spaces in the mitigation of inequalities in pollution exposure, a source of concern in many disadvantaged communities.</w:t>
      </w:r>
    </w:p>
    <w:p w14:paraId="093DF7D8" w14:textId="77777777" w:rsidR="00D84031" w:rsidRDefault="007965BB" w:rsidP="00C62CF4">
      <w:pPr>
        <w:pStyle w:val="ListParagraph"/>
        <w:numPr>
          <w:ilvl w:val="0"/>
          <w:numId w:val="81"/>
        </w:numPr>
      </w:pPr>
      <w:r>
        <w:rPr>
          <w:color w:val="000000"/>
        </w:rPr>
        <w:t xml:space="preserve">The potential contributions of local businesses and social economy actors to the implementation of green and/or blue spaces, as well as the meaningful participation of individuals, representing different economic/labour sectors and collective identities within the community. </w:t>
      </w:r>
    </w:p>
    <w:p w14:paraId="2959C381" w14:textId="77777777" w:rsidR="00D84031" w:rsidRDefault="007965BB" w:rsidP="00C62CF4">
      <w:pPr>
        <w:pStyle w:val="ListParagraph"/>
        <w:numPr>
          <w:ilvl w:val="0"/>
          <w:numId w:val="81"/>
        </w:numPr>
      </w:pPr>
      <w:r>
        <w:rPr>
          <w:color w:val="000000"/>
        </w:rPr>
        <w:t xml:space="preserve">The contribution of nature to place-making and the ways in which approaches from the arts and humanities can contribute to how we understand place, and shape future places, in concert with local communities. </w:t>
      </w:r>
    </w:p>
    <w:p w14:paraId="73AE01E1" w14:textId="77777777" w:rsidR="00D84031" w:rsidRDefault="007965BB">
      <w:r>
        <w:rPr>
          <w:color w:val="000000"/>
        </w:rPr>
        <w:lastRenderedPageBreak/>
        <w:t>Proposals are expected to adopt a gender-sensitive and intersectional approach to analyse differential access to nature-positive environments across population groups. Particular attention should be paid to identifying the structural and systemic drivers of these disparities, as well as assessing the social, economic and health-related impacts of unequal access on individuals and communities.</w:t>
      </w:r>
    </w:p>
    <w:p w14:paraId="758B02A8" w14:textId="77777777" w:rsidR="00D84031" w:rsidRDefault="007965BB">
      <w:r>
        <w:rPr>
          <w:color w:val="000000"/>
        </w:rPr>
        <w:t>Interdisciplinary approaches, combining insights from sociology, anthropology, law, environmental philosophy and systems science, are encouraged. Clustering and cooperation with other selected projects under this call and other relevant projects are strongly encouraged, in particular topic HORIZON-CL6-2025-01-BIODIV-06: ‘Assessing and modelling socio-economic impacts of nature restoration’ and topics under the New European Bauhaus (topic HORIZON-NEB-2026-01-PARTICIPATION-03: Co-creating the aesthetic design</w:t>
      </w:r>
      <w:r>
        <w:rPr>
          <w:color w:val="000000"/>
        </w:rPr>
        <w:t xml:space="preserve"> of neighbourhoods to support their green transition and inhabitants’ health and well-being, and topic HORIZON-MISS-2027-06-01-CLIMA-CIT-NEB: Urban nature: supporting restoration of urban ecosystems, including along urban transport networks and in the built environment). Participation by entities from cities that are signatories of the Green City Accord</w:t>
      </w:r>
      <w:r>
        <w:rPr>
          <w:vertAlign w:val="superscript"/>
        </w:rPr>
        <w:footnoteReference w:id="180"/>
      </w:r>
      <w:r>
        <w:rPr>
          <w:color w:val="000000"/>
          <w:vertAlign w:val="superscript"/>
        </w:rPr>
        <w:t xml:space="preserve"> </w:t>
      </w:r>
      <w:r>
        <w:rPr>
          <w:color w:val="000000"/>
        </w:rPr>
        <w:t>is encouraged. Proposals should engage civil society organisations in the development of their actions.</w:t>
      </w:r>
    </w:p>
    <w:p w14:paraId="70F1D2DA" w14:textId="77777777" w:rsidR="00D84031" w:rsidRDefault="007965BB">
      <w:pPr>
        <w:pStyle w:val="HeadingThree"/>
      </w:pPr>
      <w:r>
        <w:t>HORIZON-CL2-2027-01-TRANSFO-02: Impact of in-kind benefits on income distribution and on vulnerable populations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5B35B261" w14:textId="77777777" w:rsidTr="00C62CF4">
        <w:tc>
          <w:tcPr>
            <w:tcW w:w="0" w:type="auto"/>
            <w:gridSpan w:val="2"/>
          </w:tcPr>
          <w:p w14:paraId="0832DDB9" w14:textId="77777777" w:rsidR="00D84031" w:rsidRDefault="007965BB">
            <w:pPr>
              <w:pStyle w:val="CellTextValue"/>
            </w:pPr>
            <w:r>
              <w:rPr>
                <w:b/>
              </w:rPr>
              <w:t>Call: Culture, Creativity and Inclusive Society - 2027</w:t>
            </w:r>
          </w:p>
        </w:tc>
      </w:tr>
      <w:tr w:rsidR="00C62CF4" w14:paraId="3A7A4D5E" w14:textId="77777777" w:rsidTr="00C62CF4">
        <w:tc>
          <w:tcPr>
            <w:tcW w:w="0" w:type="auto"/>
            <w:gridSpan w:val="2"/>
          </w:tcPr>
          <w:p w14:paraId="36092069" w14:textId="77777777" w:rsidR="00D84031" w:rsidRDefault="007965BB">
            <w:pPr>
              <w:pStyle w:val="CellTextValue"/>
            </w:pPr>
            <w:r>
              <w:rPr>
                <w:b/>
              </w:rPr>
              <w:t>Specific conditions</w:t>
            </w:r>
          </w:p>
        </w:tc>
      </w:tr>
      <w:tr w:rsidR="00D84031" w14:paraId="77FF2E61" w14:textId="77777777">
        <w:tc>
          <w:tcPr>
            <w:tcW w:w="0" w:type="auto"/>
          </w:tcPr>
          <w:p w14:paraId="00F6F14F" w14:textId="77777777" w:rsidR="00D84031" w:rsidRDefault="007965BB">
            <w:pPr>
              <w:pStyle w:val="CellTextValue"/>
              <w:jc w:val="left"/>
            </w:pPr>
            <w:r>
              <w:rPr>
                <w:i/>
              </w:rPr>
              <w:t>Expected EU contribution per project</w:t>
            </w:r>
          </w:p>
        </w:tc>
        <w:tc>
          <w:tcPr>
            <w:tcW w:w="0" w:type="auto"/>
          </w:tcPr>
          <w:p w14:paraId="1C94153B" w14:textId="77777777" w:rsidR="00D84031" w:rsidRDefault="007965BB">
            <w:pPr>
              <w:pStyle w:val="CellTextValue"/>
            </w:pPr>
            <w:r>
              <w:t xml:space="preserve">The Commission estimates that an EU contribution of between EUR 3.00 and 3.30 million would allow these outcomes to be addressed appropriately. </w:t>
            </w:r>
            <w:r>
              <w:t>Nonetheless, this does not preclude submission and selection of a proposal requesting different amounts.</w:t>
            </w:r>
          </w:p>
        </w:tc>
      </w:tr>
      <w:tr w:rsidR="00D84031" w14:paraId="319543DE" w14:textId="77777777">
        <w:tc>
          <w:tcPr>
            <w:tcW w:w="0" w:type="auto"/>
          </w:tcPr>
          <w:p w14:paraId="13A3428E" w14:textId="77777777" w:rsidR="00D84031" w:rsidRDefault="007965BB">
            <w:pPr>
              <w:pStyle w:val="CellTextValue"/>
              <w:jc w:val="left"/>
            </w:pPr>
            <w:r>
              <w:rPr>
                <w:i/>
              </w:rPr>
              <w:t>Indicative budget</w:t>
            </w:r>
          </w:p>
        </w:tc>
        <w:tc>
          <w:tcPr>
            <w:tcW w:w="0" w:type="auto"/>
          </w:tcPr>
          <w:p w14:paraId="793CEE77" w14:textId="77777777" w:rsidR="00D84031" w:rsidRDefault="007965BB">
            <w:pPr>
              <w:pStyle w:val="CellTextValue"/>
            </w:pPr>
            <w:r>
              <w:t>The total indicative budget for the topic is EUR 10.00 million.</w:t>
            </w:r>
          </w:p>
        </w:tc>
      </w:tr>
      <w:tr w:rsidR="00D84031" w14:paraId="60F49C11" w14:textId="77777777">
        <w:tc>
          <w:tcPr>
            <w:tcW w:w="0" w:type="auto"/>
          </w:tcPr>
          <w:p w14:paraId="46596035" w14:textId="77777777" w:rsidR="00D84031" w:rsidRDefault="007965BB">
            <w:pPr>
              <w:pStyle w:val="CellTextValue"/>
              <w:jc w:val="left"/>
            </w:pPr>
            <w:r>
              <w:rPr>
                <w:i/>
              </w:rPr>
              <w:t>Type of Action</w:t>
            </w:r>
          </w:p>
        </w:tc>
        <w:tc>
          <w:tcPr>
            <w:tcW w:w="0" w:type="auto"/>
          </w:tcPr>
          <w:p w14:paraId="6DCCB2CF" w14:textId="77777777" w:rsidR="00D84031" w:rsidRDefault="007965BB">
            <w:pPr>
              <w:pStyle w:val="CellTextValue"/>
            </w:pPr>
            <w:r>
              <w:rPr>
                <w:color w:val="000000"/>
              </w:rPr>
              <w:t>Research and Innovation Actions</w:t>
            </w:r>
          </w:p>
        </w:tc>
      </w:tr>
      <w:tr w:rsidR="00D84031" w14:paraId="583D35CA" w14:textId="77777777">
        <w:tc>
          <w:tcPr>
            <w:tcW w:w="0" w:type="auto"/>
          </w:tcPr>
          <w:p w14:paraId="23143588" w14:textId="77777777" w:rsidR="00D84031" w:rsidRDefault="007965BB">
            <w:pPr>
              <w:pStyle w:val="CellTextValue"/>
              <w:jc w:val="left"/>
            </w:pPr>
            <w:r>
              <w:rPr>
                <w:i/>
              </w:rPr>
              <w:t>Legal and financial set-up of the Grant Agreements</w:t>
            </w:r>
          </w:p>
        </w:tc>
        <w:tc>
          <w:tcPr>
            <w:tcW w:w="0" w:type="auto"/>
          </w:tcPr>
          <w:p w14:paraId="595677D3" w14:textId="77777777" w:rsidR="00D84031" w:rsidRDefault="007965BB">
            <w:pPr>
              <w:pStyle w:val="CellTextValue"/>
            </w:pPr>
            <w:r>
              <w:rPr>
                <w:color w:val="000000"/>
              </w:rPr>
              <w:t>The rules are described in General Annex G. The following exceptions apply:</w:t>
            </w:r>
          </w:p>
          <w:p w14:paraId="653FB630"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w:t>
            </w:r>
            <w:r>
              <w:rPr>
                <w:color w:val="000000"/>
              </w:rPr>
              <w:lastRenderedPageBreak/>
              <w:t xml:space="preserve">Research and Training Programme of the European Atomic Energy Community (2021-2025) </w:t>
            </w:r>
            <w:r>
              <w:rPr>
                <w:vertAlign w:val="superscript"/>
              </w:rPr>
              <w:footnoteReference w:id="181"/>
            </w:r>
            <w:r>
              <w:rPr>
                <w:color w:val="000000"/>
              </w:rPr>
              <w:t>.</w:t>
            </w:r>
          </w:p>
        </w:tc>
      </w:tr>
    </w:tbl>
    <w:p w14:paraId="3F4564DE" w14:textId="77777777" w:rsidR="00D84031" w:rsidRDefault="00D84031">
      <w:pPr>
        <w:spacing w:after="0" w:line="150" w:lineRule="auto"/>
      </w:pPr>
    </w:p>
    <w:p w14:paraId="643B745C" w14:textId="77777777" w:rsidR="00D84031" w:rsidRDefault="007965BB">
      <w:r>
        <w:rPr>
          <w:u w:val="single"/>
        </w:rPr>
        <w:t>Expected Outcome</w:t>
      </w:r>
      <w:r>
        <w:t xml:space="preserve">: </w:t>
      </w:r>
      <w:r>
        <w:rPr>
          <w:color w:val="000000"/>
        </w:rPr>
        <w:t>Projects should contribute to all of the following expected outcomes:</w:t>
      </w:r>
    </w:p>
    <w:p w14:paraId="57EBD3D9" w14:textId="77777777" w:rsidR="00D84031" w:rsidRDefault="007965BB" w:rsidP="00C62CF4">
      <w:pPr>
        <w:pStyle w:val="ListParagraph"/>
        <w:numPr>
          <w:ilvl w:val="0"/>
          <w:numId w:val="82"/>
        </w:numPr>
      </w:pPr>
      <w:r>
        <w:rPr>
          <w:color w:val="000000"/>
        </w:rPr>
        <w:t>Policy makers get a mapping of in-kind benefits across Member States and a comprehensive measurement framework.</w:t>
      </w:r>
    </w:p>
    <w:p w14:paraId="0D2B114A" w14:textId="77777777" w:rsidR="00D84031" w:rsidRDefault="007965BB" w:rsidP="00C62CF4">
      <w:pPr>
        <w:pStyle w:val="ListParagraph"/>
        <w:numPr>
          <w:ilvl w:val="0"/>
          <w:numId w:val="82"/>
        </w:numPr>
      </w:pPr>
      <w:r>
        <w:rPr>
          <w:color w:val="000000"/>
        </w:rPr>
        <w:t>Policy makers gain insights on the availability of in-kind services, on potential gaps in their provision, and on reasons for non-take up.</w:t>
      </w:r>
    </w:p>
    <w:p w14:paraId="4842F51C" w14:textId="77777777" w:rsidR="00D84031" w:rsidRDefault="007965BB" w:rsidP="00C62CF4">
      <w:pPr>
        <w:pStyle w:val="ListParagraph"/>
        <w:numPr>
          <w:ilvl w:val="0"/>
          <w:numId w:val="82"/>
        </w:numPr>
      </w:pPr>
      <w:r>
        <w:rPr>
          <w:color w:val="000000"/>
        </w:rPr>
        <w:t>Policy makers gain insights into the redistributive role of in-kind benefits and on the segregation of different social groups.</w:t>
      </w:r>
    </w:p>
    <w:p w14:paraId="4BC219F9" w14:textId="77777777" w:rsidR="00D84031" w:rsidRDefault="007965BB" w:rsidP="00C62CF4">
      <w:pPr>
        <w:pStyle w:val="ListParagraph"/>
        <w:numPr>
          <w:ilvl w:val="0"/>
          <w:numId w:val="82"/>
        </w:numPr>
      </w:pPr>
      <w:r>
        <w:rPr>
          <w:color w:val="000000"/>
        </w:rPr>
        <w:t xml:space="preserve">Policy makers receive operational advice to make informed policy choices which reduce inequality and strengthen fairness and cohesion.  </w:t>
      </w:r>
    </w:p>
    <w:p w14:paraId="706B4763" w14:textId="77777777" w:rsidR="00D84031" w:rsidRDefault="007965BB">
      <w:r>
        <w:rPr>
          <w:u w:val="single"/>
        </w:rPr>
        <w:t>Scope</w:t>
      </w:r>
      <w:r>
        <w:t xml:space="preserve">: </w:t>
      </w:r>
      <w:r>
        <w:rPr>
          <w:color w:val="000000"/>
        </w:rPr>
        <w:t>In-kind benefits refer to non-cash goods and services provided to individuals or households, typically by the government (national, regional and/or local), to support their well-being or fulfil basic needs. Unlike cash transfers, which can be spent at the recipient's discretion, in-kind benefits ensure that resources are used for specific purposes for free or at a subsidised cost (e.g. food banks, social housing, health and long-term care services, childcare, schooling, sport infrastructure, public transp</w:t>
      </w:r>
      <w:r>
        <w:rPr>
          <w:color w:val="000000"/>
        </w:rPr>
        <w:t>ort). Despite the wide range of in-kind benefits, there is poor empirical knowledge basis of the impact of in-kind benefits (except for healthcare) on the income distribution and on vulnerable groups, unlike the impact of cash benefits.</w:t>
      </w:r>
    </w:p>
    <w:p w14:paraId="5E9E8A50" w14:textId="77777777" w:rsidR="00D84031" w:rsidRDefault="007965BB">
      <w:r>
        <w:rPr>
          <w:color w:val="000000"/>
        </w:rPr>
        <w:t>Research activities may focus, as a baseline, on establishing a full mapping of in-kind benefits (both for free and at a subsidised cost, universal and means-tested) provided by national, regional and local governments. This mapping, potentially structured along the life-cycle perspective and/or around specific groups, might help to develop EU indicators on in-kind benefits and improve comparability.</w:t>
      </w:r>
    </w:p>
    <w:p w14:paraId="032D07E4" w14:textId="77777777" w:rsidR="00D84031" w:rsidRDefault="007965BB">
      <w:r>
        <w:rPr>
          <w:color w:val="000000"/>
        </w:rPr>
        <w:t>Proposals may develop a comprehensive measurement framework based on methods, tools, available data and indicators, both qualitative and quantitative and both ex ante and ex post. The framework may translate in-kind benefits into income and show their redistributive role (on income groups, vulnerable populations, marginal and/or small size groups) and ensure cross-country comparability.</w:t>
      </w:r>
    </w:p>
    <w:p w14:paraId="71946DB9" w14:textId="77777777" w:rsidR="00D84031" w:rsidRDefault="007965BB">
      <w:r>
        <w:rPr>
          <w:color w:val="000000"/>
        </w:rPr>
        <w:t>Proposals may consider identifying the availability of in-kind benefits at local level, potential gaps, take-up rates for in-kind benefits and their reasons (e.g. capacities' incompatibility with the local needs). They may involve vulnerable communities in the evaluation design.</w:t>
      </w:r>
    </w:p>
    <w:p w14:paraId="66423F61" w14:textId="77777777" w:rsidR="00D84031" w:rsidRDefault="007965BB">
      <w:r>
        <w:rPr>
          <w:color w:val="000000"/>
        </w:rPr>
        <w:lastRenderedPageBreak/>
        <w:t>Proposals may provide operational advice to policy makers on how to translate the research results into concrete actions to reduce inequality and strengthen fairness and cohesion.</w:t>
      </w:r>
    </w:p>
    <w:p w14:paraId="16864FAC" w14:textId="77777777" w:rsidR="00D84031" w:rsidRDefault="007965BB">
      <w:r>
        <w:rPr>
          <w:color w:val="000000"/>
        </w:rPr>
        <w:t>The overall aim is to close the knowledge gap covering various dimensions. Therefore, it is expected that proposals apply a gender-sensitive and intersectional approach, including age, to their research.</w:t>
      </w:r>
    </w:p>
    <w:p w14:paraId="39AB2E62" w14:textId="77777777" w:rsidR="00D84031" w:rsidRDefault="007965BB">
      <w:pPr>
        <w:pStyle w:val="HeadingThree"/>
      </w:pPr>
      <w:r>
        <w:t>HORIZON-CL2-2027-01-TRANSFO-03: Rethinking sustainable competitiveness beyond traditional perspectives: role and contribution of the Social Economy</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07114043" w14:textId="77777777" w:rsidTr="00C62CF4">
        <w:tc>
          <w:tcPr>
            <w:tcW w:w="0" w:type="auto"/>
            <w:gridSpan w:val="2"/>
          </w:tcPr>
          <w:p w14:paraId="771F4894" w14:textId="77777777" w:rsidR="00D84031" w:rsidRDefault="007965BB">
            <w:pPr>
              <w:pStyle w:val="CellTextValue"/>
            </w:pPr>
            <w:r>
              <w:rPr>
                <w:b/>
              </w:rPr>
              <w:t>Call: Culture, Creativity and Inclusive Society - 2027</w:t>
            </w:r>
          </w:p>
        </w:tc>
      </w:tr>
      <w:tr w:rsidR="00C62CF4" w14:paraId="686A8F34" w14:textId="77777777" w:rsidTr="00C62CF4">
        <w:tc>
          <w:tcPr>
            <w:tcW w:w="0" w:type="auto"/>
            <w:gridSpan w:val="2"/>
          </w:tcPr>
          <w:p w14:paraId="3BDAF98C" w14:textId="77777777" w:rsidR="00D84031" w:rsidRDefault="007965BB">
            <w:pPr>
              <w:pStyle w:val="CellTextValue"/>
            </w:pPr>
            <w:r>
              <w:rPr>
                <w:b/>
              </w:rPr>
              <w:t>Specific conditions</w:t>
            </w:r>
          </w:p>
        </w:tc>
      </w:tr>
      <w:tr w:rsidR="00D84031" w14:paraId="0FC785D4" w14:textId="77777777">
        <w:tc>
          <w:tcPr>
            <w:tcW w:w="0" w:type="auto"/>
          </w:tcPr>
          <w:p w14:paraId="5B049D20" w14:textId="77777777" w:rsidR="00D84031" w:rsidRDefault="007965BB">
            <w:pPr>
              <w:pStyle w:val="CellTextValue"/>
              <w:jc w:val="left"/>
            </w:pPr>
            <w:r>
              <w:rPr>
                <w:i/>
              </w:rPr>
              <w:t>Expected EU contribution per project</w:t>
            </w:r>
          </w:p>
        </w:tc>
        <w:tc>
          <w:tcPr>
            <w:tcW w:w="0" w:type="auto"/>
          </w:tcPr>
          <w:p w14:paraId="5B0CA94B" w14:textId="77777777" w:rsidR="00D84031" w:rsidRDefault="007965BB">
            <w:pPr>
              <w:pStyle w:val="CellTextValue"/>
            </w:pPr>
            <w:r>
              <w:t>The Commission estimates that an EU contribution of between EUR 3.00 and 4.00 million would allow these outcomes to be addressed appropriately. Nonetheless, this does not preclude submission and selection of a proposal requesting different amounts.</w:t>
            </w:r>
          </w:p>
        </w:tc>
      </w:tr>
      <w:tr w:rsidR="00D84031" w14:paraId="78E69276" w14:textId="77777777">
        <w:tc>
          <w:tcPr>
            <w:tcW w:w="0" w:type="auto"/>
          </w:tcPr>
          <w:p w14:paraId="7465D8D9" w14:textId="77777777" w:rsidR="00D84031" w:rsidRDefault="007965BB">
            <w:pPr>
              <w:pStyle w:val="CellTextValue"/>
              <w:jc w:val="left"/>
            </w:pPr>
            <w:r>
              <w:rPr>
                <w:i/>
              </w:rPr>
              <w:t>Indicative budget</w:t>
            </w:r>
          </w:p>
        </w:tc>
        <w:tc>
          <w:tcPr>
            <w:tcW w:w="0" w:type="auto"/>
          </w:tcPr>
          <w:p w14:paraId="023CFDF0" w14:textId="77777777" w:rsidR="00D84031" w:rsidRDefault="007965BB">
            <w:pPr>
              <w:pStyle w:val="CellTextValue"/>
            </w:pPr>
            <w:r>
              <w:t>The total indicative budget for the topic is EUR 12.00 million.</w:t>
            </w:r>
          </w:p>
        </w:tc>
      </w:tr>
      <w:tr w:rsidR="00D84031" w14:paraId="51D942D8" w14:textId="77777777">
        <w:tc>
          <w:tcPr>
            <w:tcW w:w="0" w:type="auto"/>
          </w:tcPr>
          <w:p w14:paraId="408DB480" w14:textId="77777777" w:rsidR="00D84031" w:rsidRDefault="007965BB">
            <w:pPr>
              <w:pStyle w:val="CellTextValue"/>
              <w:jc w:val="left"/>
            </w:pPr>
            <w:r>
              <w:rPr>
                <w:i/>
              </w:rPr>
              <w:t>Type of Action</w:t>
            </w:r>
          </w:p>
        </w:tc>
        <w:tc>
          <w:tcPr>
            <w:tcW w:w="0" w:type="auto"/>
          </w:tcPr>
          <w:p w14:paraId="1752782E" w14:textId="77777777" w:rsidR="00D84031" w:rsidRDefault="007965BB">
            <w:pPr>
              <w:pStyle w:val="CellTextValue"/>
            </w:pPr>
            <w:r>
              <w:rPr>
                <w:color w:val="000000"/>
              </w:rPr>
              <w:t>Research and Innovation Actions</w:t>
            </w:r>
          </w:p>
        </w:tc>
      </w:tr>
      <w:tr w:rsidR="00D84031" w14:paraId="657970C3" w14:textId="77777777">
        <w:tc>
          <w:tcPr>
            <w:tcW w:w="0" w:type="auto"/>
          </w:tcPr>
          <w:p w14:paraId="16E632E9" w14:textId="77777777" w:rsidR="00D84031" w:rsidRDefault="007965BB">
            <w:pPr>
              <w:pStyle w:val="CellTextValue"/>
              <w:jc w:val="left"/>
            </w:pPr>
            <w:r>
              <w:rPr>
                <w:i/>
              </w:rPr>
              <w:t>Legal and financial set-up of the Grant Agreements</w:t>
            </w:r>
          </w:p>
        </w:tc>
        <w:tc>
          <w:tcPr>
            <w:tcW w:w="0" w:type="auto"/>
          </w:tcPr>
          <w:p w14:paraId="183BD157" w14:textId="77777777" w:rsidR="00D84031" w:rsidRDefault="007965BB">
            <w:pPr>
              <w:pStyle w:val="CellTextValue"/>
            </w:pPr>
            <w:r>
              <w:rPr>
                <w:color w:val="000000"/>
              </w:rPr>
              <w:t xml:space="preserve">The rules are </w:t>
            </w:r>
            <w:r>
              <w:rPr>
                <w:color w:val="000000"/>
              </w:rPr>
              <w:t>described in General Annex G. The following exceptions apply:</w:t>
            </w:r>
          </w:p>
          <w:p w14:paraId="49DAAF07"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82"/>
            </w:r>
            <w:r>
              <w:rPr>
                <w:color w:val="000000"/>
              </w:rPr>
              <w:t>.</w:t>
            </w:r>
          </w:p>
        </w:tc>
      </w:tr>
    </w:tbl>
    <w:p w14:paraId="7EE7E524" w14:textId="77777777" w:rsidR="00D84031" w:rsidRDefault="00D84031">
      <w:pPr>
        <w:spacing w:after="0" w:line="150" w:lineRule="auto"/>
      </w:pPr>
    </w:p>
    <w:p w14:paraId="214EA365" w14:textId="77777777" w:rsidR="00D84031" w:rsidRDefault="007965BB">
      <w:r>
        <w:rPr>
          <w:u w:val="single"/>
        </w:rPr>
        <w:t>Expected Outcome</w:t>
      </w:r>
      <w:r>
        <w:t xml:space="preserve">: </w:t>
      </w:r>
      <w:r>
        <w:rPr>
          <w:color w:val="000000"/>
        </w:rPr>
        <w:t>Projects should contribute to all of the following expected outcomes:</w:t>
      </w:r>
    </w:p>
    <w:p w14:paraId="60DF2358" w14:textId="77777777" w:rsidR="00D84031" w:rsidRDefault="007965BB" w:rsidP="00C62CF4">
      <w:pPr>
        <w:pStyle w:val="ListParagraph"/>
        <w:numPr>
          <w:ilvl w:val="0"/>
          <w:numId w:val="83"/>
        </w:numPr>
      </w:pPr>
      <w:r>
        <w:rPr>
          <w:color w:val="000000"/>
        </w:rPr>
        <w:t>Social enterprises, traditional firms and investors will benefit from a better understanding of the sustainable competitiveness factors of the social economy</w:t>
      </w:r>
      <w:r>
        <w:rPr>
          <w:vertAlign w:val="superscript"/>
        </w:rPr>
        <w:footnoteReference w:id="183"/>
      </w:r>
      <w:r>
        <w:rPr>
          <w:color w:val="000000"/>
        </w:rPr>
        <w:t xml:space="preserve"> in </w:t>
      </w:r>
      <w:r>
        <w:rPr>
          <w:color w:val="000000"/>
        </w:rPr>
        <w:lastRenderedPageBreak/>
        <w:t>Europe through knowledge development and know-how on innovative products and services, improving quality and productivity, and increasing adaptability, social inclusion and sustainable practices.</w:t>
      </w:r>
    </w:p>
    <w:p w14:paraId="6B5BD603" w14:textId="77777777" w:rsidR="00D84031" w:rsidRDefault="007965BB" w:rsidP="00C62CF4">
      <w:pPr>
        <w:pStyle w:val="ListParagraph"/>
        <w:numPr>
          <w:ilvl w:val="0"/>
          <w:numId w:val="83"/>
        </w:numPr>
      </w:pPr>
      <w:r>
        <w:rPr>
          <w:color w:val="000000"/>
        </w:rPr>
        <w:t xml:space="preserve"> Citizens and traditional private sector will benefit from the increased contribution of the social economy to the EU’s sustainable competitiveness and shared prosperity goals. The research will inform policy makers and private sector on best practice, policy and regulatory reforms aimed at enhancing the social economy's contribution to the EU's competitiveness and prosperity goals. </w:t>
      </w:r>
    </w:p>
    <w:p w14:paraId="3D2E1246" w14:textId="77777777" w:rsidR="00D84031" w:rsidRDefault="007965BB" w:rsidP="00C62CF4">
      <w:pPr>
        <w:pStyle w:val="ListParagraph"/>
        <w:numPr>
          <w:ilvl w:val="0"/>
          <w:numId w:val="83"/>
        </w:numPr>
      </w:pPr>
      <w:r>
        <w:rPr>
          <w:color w:val="000000"/>
        </w:rPr>
        <w:t xml:space="preserve">The social economy's principles for sustainable competitiveness are promoted, through the development of practical and innovative solutions.  </w:t>
      </w:r>
    </w:p>
    <w:p w14:paraId="2B7FD189" w14:textId="77777777" w:rsidR="00D84031" w:rsidRDefault="007965BB">
      <w:r>
        <w:rPr>
          <w:u w:val="single"/>
        </w:rPr>
        <w:t>Scope</w:t>
      </w:r>
      <w:r>
        <w:t xml:space="preserve">: </w:t>
      </w:r>
      <w:r>
        <w:rPr>
          <w:color w:val="000000"/>
        </w:rPr>
        <w:t xml:space="preserve">The European Union is committed to fostering a social market economy that promotes sustainable growth, social justice, and </w:t>
      </w:r>
      <w:r>
        <w:rPr>
          <w:color w:val="000000"/>
        </w:rPr>
        <w:t>economic competitiveness. In this context, the social economy has emerged as a potential driver of innovation, job creation, and social inclusion. On the other hand, there is still a persistent knowledge gap in the literature when it comes to appreciate the multifaceted contribution social economy actors make in shaping and advancing economic competitiveness within and across the EU society and its impact on inclusive wellbeing.</w:t>
      </w:r>
    </w:p>
    <w:p w14:paraId="619640E5" w14:textId="77777777" w:rsidR="00D84031" w:rsidRDefault="007965BB">
      <w:r>
        <w:rPr>
          <w:color w:val="000000"/>
        </w:rPr>
        <w:t>Sustainable competitiveness and shared prosperity are key a political priority of the new European Commission</w:t>
      </w:r>
      <w:r>
        <w:rPr>
          <w:vertAlign w:val="superscript"/>
        </w:rPr>
        <w:footnoteReference w:id="184"/>
      </w:r>
      <w:r>
        <w:rPr>
          <w:color w:val="000000"/>
        </w:rPr>
        <w:t>. In this context, the notion of sustainable competitiveness is less about relative labour cost and more about skills, innovation, entrepreneurship and adaptation. It focuses on the ability for an individual, a firm, a sector, or a country to increase shared prosperity in relation to the current and future wider environment and society.</w:t>
      </w:r>
    </w:p>
    <w:p w14:paraId="5C448002" w14:textId="77777777" w:rsidR="00D84031" w:rsidRDefault="007965BB">
      <w:r>
        <w:rPr>
          <w:color w:val="000000"/>
        </w:rPr>
        <w:t>The link between social economy and sustainable competitiveness relies on innovation, which needs to be made broader, going beyond “mere” technological innovation and embrace social or even better societal innovation.</w:t>
      </w:r>
    </w:p>
    <w:p w14:paraId="4AEFBF5E" w14:textId="77777777" w:rsidR="00D84031" w:rsidRDefault="007965BB">
      <w:r>
        <w:rPr>
          <w:color w:val="000000"/>
        </w:rPr>
        <w:t>Proposals should focus on exploring the potential virtuous</w:t>
      </w:r>
      <w:r>
        <w:rPr>
          <w:color w:val="000000"/>
          <w:u w:val="single"/>
        </w:rPr>
        <w:t xml:space="preserve"> </w:t>
      </w:r>
      <w:r>
        <w:rPr>
          <w:color w:val="000000"/>
        </w:rPr>
        <w:t>relationships between social economy, sustainable competitiveness and shared prosperity.</w:t>
      </w:r>
    </w:p>
    <w:p w14:paraId="6A8D4F8A" w14:textId="77777777" w:rsidR="00D84031" w:rsidRDefault="007965BB">
      <w:r>
        <w:rPr>
          <w:color w:val="000000"/>
        </w:rPr>
        <w:t>Research should focus on a deeper understanding of the factors contributing to the sustainable competitiveness of social economy entities on one side and, on the other, its possible impact on EU sustainable competitiveness. This requires addressing knowledge gaps, such as the lack of a comprehensive framework to measure the social economy's contribution to sustainable competitiveness in the European Union.</w:t>
      </w:r>
    </w:p>
    <w:p w14:paraId="4A314B88" w14:textId="77777777" w:rsidR="00D84031" w:rsidRDefault="007965BB">
      <w:r>
        <w:rPr>
          <w:color w:val="000000"/>
        </w:rPr>
        <w:lastRenderedPageBreak/>
        <w:t xml:space="preserve">Research may undertake a review of existing literature, analysis and develop case studies to identify the key enabling factors that make social economy entities competitive in a sustainable way, while considering the social, economic, and environmental dimensions. </w:t>
      </w:r>
    </w:p>
    <w:p w14:paraId="602B778C" w14:textId="77777777" w:rsidR="00D84031" w:rsidRDefault="007965BB">
      <w:r>
        <w:rPr>
          <w:color w:val="000000"/>
        </w:rPr>
        <w:t>To better capture the role of the social economy as one of the drivers of sustainable competitiveness, the research may develop a framework to measure its contribution including with existing and new indicators and metrics.</w:t>
      </w:r>
    </w:p>
    <w:p w14:paraId="7E961936" w14:textId="77777777" w:rsidR="00D84031" w:rsidRDefault="007965BB">
      <w:r>
        <w:rPr>
          <w:color w:val="000000"/>
        </w:rPr>
        <w:t xml:space="preserve">Research may identify best practices, develop toolkit and policy recommendations on how social economy in Europe can boost public and private competitiveness linked to EU shared prosperity goals. </w:t>
      </w:r>
    </w:p>
    <w:p w14:paraId="5F522746" w14:textId="77777777" w:rsidR="00D84031" w:rsidRDefault="007965BB">
      <w:r>
        <w:rPr>
          <w:color w:val="000000"/>
        </w:rPr>
        <w:t>The regulatory context and its impact on the social economy's ability to contribute to sustainable competitiveness should be considered.</w:t>
      </w:r>
    </w:p>
    <w:p w14:paraId="6DB98F9A" w14:textId="77777777" w:rsidR="00D84031" w:rsidRDefault="007965BB">
      <w:r>
        <w:rPr>
          <w:color w:val="000000"/>
        </w:rPr>
        <w:t>Activities may involve interdisciplinary research, stakeholder engagement, and policy analysis. Researchers may need to draw on expertise from different fields (economics, sociology, environmental science, public administration) to develop a comprehensive understanding of the social economy's role in promoting sustainable competitiveness.</w:t>
      </w:r>
    </w:p>
    <w:p w14:paraId="02C70BB9" w14:textId="77777777" w:rsidR="00D84031" w:rsidRDefault="007965BB">
      <w:r>
        <w:rPr>
          <w:color w:val="000000"/>
        </w:rPr>
        <w:t>The scope of this call topic is not limited to any specific sector, value chain or enabling factors, however, proposals may put emphasis on a specific one. Collaboration with stakeholders from the social economy, private sector, and public sector to develop a deeper understanding of the complex relationships between social economy and sustainable competitiveness is encouraged.</w:t>
      </w:r>
    </w:p>
    <w:p w14:paraId="29196697" w14:textId="77777777" w:rsidR="00D84031" w:rsidRDefault="007965BB">
      <w:pPr>
        <w:pStyle w:val="HeadingThree"/>
      </w:pPr>
      <w:r>
        <w:t>HORIZON-CL2-2027-01-TRANSFO-04: The impact of EU labour mobility on the Member States of the EU</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C62CF4" w14:paraId="18373888" w14:textId="77777777" w:rsidTr="00C62CF4">
        <w:tc>
          <w:tcPr>
            <w:tcW w:w="0" w:type="auto"/>
            <w:gridSpan w:val="2"/>
          </w:tcPr>
          <w:p w14:paraId="4E81730B" w14:textId="77777777" w:rsidR="00D84031" w:rsidRDefault="007965BB">
            <w:pPr>
              <w:pStyle w:val="CellTextValue"/>
            </w:pPr>
            <w:r>
              <w:rPr>
                <w:b/>
              </w:rPr>
              <w:t>Call: Culture, Creativity and Inclusive Society - 2027</w:t>
            </w:r>
          </w:p>
        </w:tc>
      </w:tr>
      <w:tr w:rsidR="00C62CF4" w14:paraId="7E16F81C" w14:textId="77777777" w:rsidTr="00C62CF4">
        <w:tc>
          <w:tcPr>
            <w:tcW w:w="0" w:type="auto"/>
            <w:gridSpan w:val="2"/>
          </w:tcPr>
          <w:p w14:paraId="198068EA" w14:textId="77777777" w:rsidR="00D84031" w:rsidRDefault="007965BB">
            <w:pPr>
              <w:pStyle w:val="CellTextValue"/>
            </w:pPr>
            <w:r>
              <w:rPr>
                <w:b/>
              </w:rPr>
              <w:t>Specific conditions</w:t>
            </w:r>
          </w:p>
        </w:tc>
      </w:tr>
      <w:tr w:rsidR="00D84031" w14:paraId="2FA9C010" w14:textId="77777777">
        <w:tc>
          <w:tcPr>
            <w:tcW w:w="0" w:type="auto"/>
          </w:tcPr>
          <w:p w14:paraId="52395144" w14:textId="77777777" w:rsidR="00D84031" w:rsidRDefault="007965BB">
            <w:pPr>
              <w:pStyle w:val="CellTextValue"/>
              <w:jc w:val="left"/>
            </w:pPr>
            <w:r>
              <w:rPr>
                <w:i/>
              </w:rPr>
              <w:t>Expected EU contribution per project</w:t>
            </w:r>
          </w:p>
        </w:tc>
        <w:tc>
          <w:tcPr>
            <w:tcW w:w="0" w:type="auto"/>
          </w:tcPr>
          <w:p w14:paraId="7BEF8AB8" w14:textId="77777777" w:rsidR="00D84031" w:rsidRDefault="007965BB">
            <w:pPr>
              <w:pStyle w:val="CellTextValue"/>
            </w:pPr>
            <w:r>
              <w:t xml:space="preserve">The Commission estimates that an EU contribution of between EUR 3.00 and 4.00 million would allow these outcomes to be addressed appropriately. Nonetheless, this </w:t>
            </w:r>
            <w:r>
              <w:t>does not preclude submission and selection of a proposal requesting different amounts.</w:t>
            </w:r>
          </w:p>
        </w:tc>
      </w:tr>
      <w:tr w:rsidR="00D84031" w14:paraId="6432066C" w14:textId="77777777">
        <w:tc>
          <w:tcPr>
            <w:tcW w:w="0" w:type="auto"/>
          </w:tcPr>
          <w:p w14:paraId="1E39EC2C" w14:textId="77777777" w:rsidR="00D84031" w:rsidRDefault="007965BB">
            <w:pPr>
              <w:pStyle w:val="CellTextValue"/>
              <w:jc w:val="left"/>
            </w:pPr>
            <w:r>
              <w:rPr>
                <w:i/>
              </w:rPr>
              <w:t>Indicative budget</w:t>
            </w:r>
          </w:p>
        </w:tc>
        <w:tc>
          <w:tcPr>
            <w:tcW w:w="0" w:type="auto"/>
          </w:tcPr>
          <w:p w14:paraId="2F261CF7" w14:textId="77777777" w:rsidR="00D84031" w:rsidRDefault="007965BB">
            <w:pPr>
              <w:pStyle w:val="CellTextValue"/>
            </w:pPr>
            <w:r>
              <w:t>The total indicative budget for the topic is EUR 12.00 million.</w:t>
            </w:r>
          </w:p>
        </w:tc>
      </w:tr>
      <w:tr w:rsidR="00D84031" w14:paraId="13725303" w14:textId="77777777">
        <w:tc>
          <w:tcPr>
            <w:tcW w:w="0" w:type="auto"/>
          </w:tcPr>
          <w:p w14:paraId="6E2D3D24" w14:textId="77777777" w:rsidR="00D84031" w:rsidRDefault="007965BB">
            <w:pPr>
              <w:pStyle w:val="CellTextValue"/>
              <w:jc w:val="left"/>
            </w:pPr>
            <w:r>
              <w:rPr>
                <w:i/>
              </w:rPr>
              <w:t>Type of Action</w:t>
            </w:r>
          </w:p>
        </w:tc>
        <w:tc>
          <w:tcPr>
            <w:tcW w:w="0" w:type="auto"/>
          </w:tcPr>
          <w:p w14:paraId="588F7B19" w14:textId="77777777" w:rsidR="00D84031" w:rsidRDefault="007965BB">
            <w:pPr>
              <w:pStyle w:val="CellTextValue"/>
            </w:pPr>
            <w:r>
              <w:rPr>
                <w:color w:val="000000"/>
              </w:rPr>
              <w:t>Research and Innovation Actions</w:t>
            </w:r>
          </w:p>
        </w:tc>
      </w:tr>
      <w:tr w:rsidR="00D84031" w14:paraId="640D7CFB" w14:textId="77777777">
        <w:tc>
          <w:tcPr>
            <w:tcW w:w="0" w:type="auto"/>
          </w:tcPr>
          <w:p w14:paraId="23E76745" w14:textId="77777777" w:rsidR="00D84031" w:rsidRDefault="007965BB">
            <w:pPr>
              <w:pStyle w:val="CellTextValue"/>
              <w:jc w:val="left"/>
            </w:pPr>
            <w:r>
              <w:rPr>
                <w:i/>
              </w:rPr>
              <w:t>Eligibility conditions</w:t>
            </w:r>
          </w:p>
        </w:tc>
        <w:tc>
          <w:tcPr>
            <w:tcW w:w="0" w:type="auto"/>
          </w:tcPr>
          <w:p w14:paraId="7F7178FC" w14:textId="77777777" w:rsidR="00D84031" w:rsidRDefault="007965BB">
            <w:pPr>
              <w:pStyle w:val="CellTextValue"/>
            </w:pPr>
            <w:r>
              <w:rPr>
                <w:color w:val="000000"/>
              </w:rPr>
              <w:t>The conditions are described in General Annex B. The following exceptions apply:</w:t>
            </w:r>
          </w:p>
          <w:p w14:paraId="3F3B6138" w14:textId="77777777" w:rsidR="00D84031" w:rsidRDefault="007965BB">
            <w:pPr>
              <w:pStyle w:val="CellTextValue"/>
            </w:pPr>
            <w:r>
              <w:rPr>
                <w:color w:val="000000"/>
              </w:rPr>
              <w:t>Subject to restrictions for the protection of European communication networks.</w:t>
            </w:r>
          </w:p>
        </w:tc>
      </w:tr>
      <w:tr w:rsidR="00D84031" w14:paraId="405CD9CC" w14:textId="77777777">
        <w:tc>
          <w:tcPr>
            <w:tcW w:w="0" w:type="auto"/>
          </w:tcPr>
          <w:p w14:paraId="748088A4" w14:textId="77777777" w:rsidR="00D84031" w:rsidRDefault="007965BB">
            <w:pPr>
              <w:pStyle w:val="CellTextValue"/>
              <w:jc w:val="left"/>
            </w:pPr>
            <w:r>
              <w:rPr>
                <w:i/>
              </w:rPr>
              <w:t xml:space="preserve">Legal and </w:t>
            </w:r>
            <w:r>
              <w:rPr>
                <w:i/>
              </w:rPr>
              <w:lastRenderedPageBreak/>
              <w:t>financial set-up of the Grant Agreements</w:t>
            </w:r>
          </w:p>
        </w:tc>
        <w:tc>
          <w:tcPr>
            <w:tcW w:w="0" w:type="auto"/>
          </w:tcPr>
          <w:p w14:paraId="0206E528" w14:textId="77777777" w:rsidR="00D84031" w:rsidRDefault="007965BB">
            <w:pPr>
              <w:pStyle w:val="CellTextValue"/>
            </w:pPr>
            <w:r>
              <w:rPr>
                <w:color w:val="000000"/>
              </w:rPr>
              <w:lastRenderedPageBreak/>
              <w:t xml:space="preserve">The rules are described in General Annex G. The following exceptions </w:t>
            </w:r>
            <w:r>
              <w:rPr>
                <w:color w:val="000000"/>
              </w:rPr>
              <w:lastRenderedPageBreak/>
              <w:t>apply:</w:t>
            </w:r>
          </w:p>
          <w:p w14:paraId="5D91E075"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85"/>
            </w:r>
            <w:r>
              <w:rPr>
                <w:color w:val="000000"/>
              </w:rPr>
              <w:t>.</w:t>
            </w:r>
          </w:p>
        </w:tc>
      </w:tr>
    </w:tbl>
    <w:p w14:paraId="451C4A2A" w14:textId="77777777" w:rsidR="00D84031" w:rsidRDefault="00D84031">
      <w:pPr>
        <w:spacing w:after="0" w:line="150" w:lineRule="auto"/>
      </w:pPr>
    </w:p>
    <w:p w14:paraId="69560C0A" w14:textId="77777777" w:rsidR="00D84031" w:rsidRDefault="007965BB">
      <w:r>
        <w:rPr>
          <w:u w:val="single"/>
        </w:rPr>
        <w:t>Expected Outcome</w:t>
      </w:r>
      <w:r>
        <w:t xml:space="preserve">: </w:t>
      </w:r>
      <w:r>
        <w:rPr>
          <w:color w:val="000000"/>
        </w:rPr>
        <w:t>Projects should contribute to all of the following expected outcomes:</w:t>
      </w:r>
    </w:p>
    <w:p w14:paraId="2518D338" w14:textId="77777777" w:rsidR="00D84031" w:rsidRDefault="007965BB" w:rsidP="00C62CF4">
      <w:pPr>
        <w:pStyle w:val="ListParagraph"/>
        <w:numPr>
          <w:ilvl w:val="0"/>
          <w:numId w:val="84"/>
        </w:numPr>
      </w:pPr>
      <w:r>
        <w:rPr>
          <w:color w:val="000000"/>
        </w:rPr>
        <w:t xml:space="preserve">Policymakers gain insights into the economic and </w:t>
      </w:r>
      <w:r>
        <w:rPr>
          <w:color w:val="000000"/>
        </w:rPr>
        <w:t>social impacts of worker mobility across the EU, including effects on wages, fiscal budgets, and social systems for both sending and receiving regions.</w:t>
      </w:r>
    </w:p>
    <w:p w14:paraId="446BE149" w14:textId="77777777" w:rsidR="00D84031" w:rsidRDefault="007965BB" w:rsidP="00C62CF4">
      <w:pPr>
        <w:pStyle w:val="ListParagraph"/>
        <w:numPr>
          <w:ilvl w:val="0"/>
          <w:numId w:val="84"/>
        </w:numPr>
      </w:pPr>
      <w:r>
        <w:rPr>
          <w:color w:val="000000"/>
        </w:rPr>
        <w:t xml:space="preserve">The benefits of mobility are maximised through actionable recommendations, which consider challenges such as demographic changes, regional effects, digitalisation and, to a suitable extent, further developments such as the green transition or adaptation to climate change (including its potential impact on the economic development and the attractiveness of regions) or the green transition and discussions around the accession of further countries to the EU and wider geopolitical instabilities.  </w:t>
      </w:r>
    </w:p>
    <w:p w14:paraId="79AE9478" w14:textId="77777777" w:rsidR="00D84031" w:rsidRDefault="007965BB">
      <w:r>
        <w:rPr>
          <w:u w:val="single"/>
        </w:rPr>
        <w:t>Scope</w:t>
      </w:r>
      <w:r>
        <w:t xml:space="preserve">: </w:t>
      </w:r>
      <w:r>
        <w:rPr>
          <w:color w:val="000000"/>
        </w:rPr>
        <w:t>While the EU facilitates free movement as one of the four freedoms of the single market, the long-term social and economic implications for both receiving and, especially, sending regions remain underexplored. These include not only direct effects on fiscal and social budgets but also more subtle impacts, such as on the networks, skills, and experiences that individuals bring back to their home regions, but also on the income inequality in the country from which the movers originate.</w:t>
      </w:r>
    </w:p>
    <w:p w14:paraId="3982AF76" w14:textId="77777777" w:rsidR="00D84031" w:rsidRDefault="007965BB">
      <w:r>
        <w:rPr>
          <w:color w:val="000000"/>
        </w:rPr>
        <w:t xml:space="preserve">Gaining a deeper, data-supported understanding of these diverse often complex impacts is crucial for shaping policies that effectively harness the benefits of mobility across Europe. In doing so the research shall contribute to the ongoing efforts of strengthening the internal market and make Europe more competitive, while also ensuring social fairness and delivering on the European Pillar of Social Rights, in particular on having fair working conditions and on ensuring access to adequate income and social </w:t>
      </w:r>
      <w:r>
        <w:rPr>
          <w:color w:val="000000"/>
        </w:rPr>
        <w:t xml:space="preserve">protection for all. The question to which extent the results vary for different groups (including - but not limited to - gender, age, level of qualification) could be explored. Harnessing the benefits of mobility is also to be seen in the wider context of the green and digital transitions, necessitating enhanced labour mobility to address skill mismatches and demographic challenges. </w:t>
      </w:r>
    </w:p>
    <w:p w14:paraId="6592230C" w14:textId="77777777" w:rsidR="00D84031" w:rsidRDefault="007965BB">
      <w:r>
        <w:rPr>
          <w:color w:val="000000"/>
        </w:rPr>
        <w:lastRenderedPageBreak/>
        <w:t>The research should build on relevant previous research, some of which has been conducted in previous Horizon Europe and Horizon 2020 projects</w:t>
      </w:r>
      <w:r>
        <w:rPr>
          <w:vertAlign w:val="superscript"/>
        </w:rPr>
        <w:footnoteReference w:id="186"/>
      </w:r>
      <w:r>
        <w:rPr>
          <w:color w:val="000000"/>
        </w:rPr>
        <w:t xml:space="preserve">. Proposals should have a clear focus. Quantitative approaches and/or econometrics should be part of the proposed methodology. Approaches which can capture developments over time, such as panel analysis, might thereby be of added value. </w:t>
      </w:r>
    </w:p>
    <w:p w14:paraId="325773C1" w14:textId="77777777" w:rsidR="00D84031" w:rsidRDefault="007965BB">
      <w:r>
        <w:rPr>
          <w:color w:val="000000"/>
        </w:rPr>
        <w:t>Projects should analyse the effects of labour mobility on the functioning of social security systems (eventually differentiating between the different pillars of the social security systems, e.g. pension system, health, care, etc.) in countries of origin and destination and their coordination and/or provide research which fosters an informed debate on potential strategies for a future-proof and efficient EU-level social security coordination.</w:t>
      </w:r>
    </w:p>
    <w:p w14:paraId="60007845" w14:textId="77777777" w:rsidR="00D84031" w:rsidRDefault="007965BB">
      <w:r>
        <w:rPr>
          <w:color w:val="000000"/>
        </w:rPr>
        <w:t xml:space="preserve">Beyond that, the projects may: </w:t>
      </w:r>
    </w:p>
    <w:p w14:paraId="0D12E203" w14:textId="77777777" w:rsidR="00D84031" w:rsidRDefault="007965BB" w:rsidP="00C62CF4">
      <w:pPr>
        <w:pStyle w:val="ListParagraph"/>
        <w:numPr>
          <w:ilvl w:val="0"/>
          <w:numId w:val="85"/>
        </w:numPr>
      </w:pPr>
      <w:r>
        <w:rPr>
          <w:color w:val="000000"/>
        </w:rPr>
        <w:t>Explore ways to improve the quantification of the volume of various forms [e.g. long-term movers, seasonal work and other forms of short-term mobility, postings, cross-border (tele-)work etc] of labour mobility and/or make available figures more comparable across Member States.</w:t>
      </w:r>
    </w:p>
    <w:p w14:paraId="287532A1" w14:textId="77777777" w:rsidR="00D84031" w:rsidRDefault="007965BB" w:rsidP="00C62CF4">
      <w:pPr>
        <w:pStyle w:val="ListParagraph"/>
        <w:numPr>
          <w:ilvl w:val="0"/>
          <w:numId w:val="85"/>
        </w:numPr>
      </w:pPr>
      <w:r>
        <w:rPr>
          <w:color w:val="000000"/>
        </w:rPr>
        <w:t>Develop economic models to assess the EU-level economic effects of labour mobility.</w:t>
      </w:r>
    </w:p>
    <w:p w14:paraId="33242467" w14:textId="77777777" w:rsidR="00D84031" w:rsidRDefault="007965BB" w:rsidP="00C62CF4">
      <w:pPr>
        <w:pStyle w:val="ListParagraph"/>
        <w:numPr>
          <w:ilvl w:val="0"/>
          <w:numId w:val="85"/>
        </w:numPr>
      </w:pPr>
      <w:r>
        <w:rPr>
          <w:color w:val="000000"/>
        </w:rPr>
        <w:t xml:space="preserve">Pay attention to the ecological effects of labour </w:t>
      </w:r>
      <w:r>
        <w:rPr>
          <w:color w:val="000000"/>
        </w:rPr>
        <w:t>mobility and link those with the socio-economic effects.</w:t>
      </w:r>
    </w:p>
    <w:p w14:paraId="0C955C10" w14:textId="77777777" w:rsidR="00D84031" w:rsidRDefault="007965BB" w:rsidP="00C62CF4">
      <w:pPr>
        <w:pStyle w:val="ListParagraph"/>
        <w:numPr>
          <w:ilvl w:val="0"/>
          <w:numId w:val="85"/>
        </w:numPr>
      </w:pPr>
      <w:r>
        <w:rPr>
          <w:color w:val="000000"/>
        </w:rPr>
        <w:t>Analyse whether and in which way the composition of movers (e.g. skill-level, age structure, status in labour market, etc.) matters for the socio-economic effects observed in the countries/regions of origin/destination.</w:t>
      </w:r>
    </w:p>
    <w:p w14:paraId="58F980B7" w14:textId="77777777" w:rsidR="00D84031" w:rsidRDefault="007965BB" w:rsidP="00C62CF4">
      <w:pPr>
        <w:pStyle w:val="ListParagraph"/>
        <w:numPr>
          <w:ilvl w:val="0"/>
          <w:numId w:val="85"/>
        </w:numPr>
      </w:pPr>
      <w:r>
        <w:rPr>
          <w:color w:val="000000"/>
        </w:rPr>
        <w:t xml:space="preserve">Provide a comparative analysis of intra-EU labour mobility with labour mobility in other world regions or to geographical mobility within Member States. </w:t>
      </w:r>
    </w:p>
    <w:p w14:paraId="76CBE171" w14:textId="77777777" w:rsidR="00D84031" w:rsidRDefault="007965BB" w:rsidP="00C62CF4">
      <w:pPr>
        <w:pStyle w:val="ListParagraph"/>
        <w:numPr>
          <w:ilvl w:val="0"/>
          <w:numId w:val="85"/>
        </w:numPr>
      </w:pPr>
      <w:r>
        <w:rPr>
          <w:color w:val="000000"/>
        </w:rPr>
        <w:t xml:space="preserve">Develop and test a model to forecast labour mobility in different scenarios (e.g. making assumptions about the economic and social development in different parts of the EU). </w:t>
      </w:r>
    </w:p>
    <w:p w14:paraId="06949AA6" w14:textId="77777777" w:rsidR="00D84031" w:rsidRDefault="007965BB" w:rsidP="00C62CF4">
      <w:pPr>
        <w:pStyle w:val="ListParagraph"/>
        <w:numPr>
          <w:ilvl w:val="0"/>
          <w:numId w:val="85"/>
        </w:numPr>
      </w:pPr>
      <w:r>
        <w:rPr>
          <w:color w:val="000000"/>
        </w:rPr>
        <w:t>Take an evidence-based position whether – and in which way - geographical mobility contributes to manage economic change (e.g. are movers more willing to work in another sector).</w:t>
      </w:r>
    </w:p>
    <w:p w14:paraId="0DFD89AE" w14:textId="77777777" w:rsidR="00D84031" w:rsidRDefault="007965BB" w:rsidP="00C62CF4">
      <w:pPr>
        <w:pStyle w:val="ListParagraph"/>
        <w:numPr>
          <w:ilvl w:val="0"/>
          <w:numId w:val="85"/>
        </w:numPr>
      </w:pPr>
      <w:r>
        <w:rPr>
          <w:color w:val="000000"/>
        </w:rPr>
        <w:t xml:space="preserve">Analyse to which extent and under which conditions regions with net-outward mobility have benefited or can benefit – eventually in the longer run – from this mobility. </w:t>
      </w:r>
    </w:p>
    <w:p w14:paraId="5297949A" w14:textId="77777777" w:rsidR="00D84031" w:rsidRDefault="007965BB" w:rsidP="00C62CF4">
      <w:pPr>
        <w:pStyle w:val="ListParagraph"/>
        <w:numPr>
          <w:ilvl w:val="0"/>
          <w:numId w:val="85"/>
        </w:numPr>
      </w:pPr>
      <w:r>
        <w:rPr>
          <w:color w:val="000000"/>
        </w:rPr>
        <w:lastRenderedPageBreak/>
        <w:t xml:space="preserve">Investigate the economic and social differences between labour migration and labour mobility, the experience with EU enlargement might be used to analyse this, but also some of the other aspects. </w:t>
      </w:r>
    </w:p>
    <w:p w14:paraId="1C2CC139" w14:textId="77777777" w:rsidR="00D84031" w:rsidRDefault="007965BB" w:rsidP="00C62CF4">
      <w:pPr>
        <w:pStyle w:val="ListParagraph"/>
        <w:numPr>
          <w:ilvl w:val="0"/>
          <w:numId w:val="85"/>
        </w:numPr>
      </w:pPr>
      <w:r>
        <w:rPr>
          <w:color w:val="000000"/>
        </w:rPr>
        <w:t xml:space="preserve">Provide evidence on which policy instruments are most suitable to ensure a labour mobility which is not perceived as unfair (e.g linked to exploitation, social dumping etc.).  </w:t>
      </w:r>
    </w:p>
    <w:p w14:paraId="7BFD630C" w14:textId="77777777" w:rsidR="00D84031" w:rsidRDefault="007965BB">
      <w:r>
        <w:rPr>
          <w:color w:val="000000"/>
        </w:rPr>
        <w:t>These aspects illustrate thematic areas which could contribute to the objective of developing a vision for the future of labour mobility in the European Union and to discuss how legal and institutional frameworks can be adapted to support mobility in a way that is both economically and socially beneficial. This includes modernising the coordination of social security and ensuring that policies reflect the realities of modern work arrangements.</w:t>
      </w:r>
    </w:p>
    <w:p w14:paraId="42CDBE2B" w14:textId="77777777" w:rsidR="00D84031" w:rsidRDefault="007965BB">
      <w:r>
        <w:rPr>
          <w:color w:val="000000"/>
        </w:rPr>
        <w:t>Where applicable, proposals should leverage the data and services available through European Research Infrastructures federated under the European Open Science Cloud (EOSC), as well as data from relevant Data Spaces. Particular efforts should be made to ensure that the data produced in the context of this topic is FAIR (Findable, Accessible, Interoperable and Re-usable).</w:t>
      </w:r>
    </w:p>
    <w:p w14:paraId="6A05465E" w14:textId="77777777" w:rsidR="00D84031" w:rsidRDefault="007965BB">
      <w:pPr>
        <w:pStyle w:val="HeadingThree"/>
      </w:pPr>
      <w:r>
        <w:t>HORIZON-CL2-2027-01-TRANSFO-05: The effective use of artificial intelligence in learning environments in pre-primary and primary education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C62CF4" w14:paraId="540FA4E5" w14:textId="77777777" w:rsidTr="00C62CF4">
        <w:tc>
          <w:tcPr>
            <w:tcW w:w="0" w:type="auto"/>
            <w:gridSpan w:val="2"/>
          </w:tcPr>
          <w:p w14:paraId="676980AD" w14:textId="77777777" w:rsidR="00D84031" w:rsidRDefault="007965BB">
            <w:pPr>
              <w:pStyle w:val="CellTextValue"/>
            </w:pPr>
            <w:r>
              <w:rPr>
                <w:b/>
              </w:rPr>
              <w:t>Call: Culture, Creativity and Inclusive Society - 2027</w:t>
            </w:r>
          </w:p>
        </w:tc>
      </w:tr>
      <w:tr w:rsidR="00C62CF4" w14:paraId="0AD6C610" w14:textId="77777777" w:rsidTr="00C62CF4">
        <w:tc>
          <w:tcPr>
            <w:tcW w:w="0" w:type="auto"/>
            <w:gridSpan w:val="2"/>
          </w:tcPr>
          <w:p w14:paraId="7735C76B" w14:textId="77777777" w:rsidR="00D84031" w:rsidRDefault="007965BB">
            <w:pPr>
              <w:pStyle w:val="CellTextValue"/>
            </w:pPr>
            <w:r>
              <w:rPr>
                <w:b/>
              </w:rPr>
              <w:t>Specific conditions</w:t>
            </w:r>
          </w:p>
        </w:tc>
      </w:tr>
      <w:tr w:rsidR="00D84031" w14:paraId="452D956A" w14:textId="77777777">
        <w:tc>
          <w:tcPr>
            <w:tcW w:w="0" w:type="auto"/>
          </w:tcPr>
          <w:p w14:paraId="6C790D35" w14:textId="77777777" w:rsidR="00D84031" w:rsidRDefault="007965BB">
            <w:pPr>
              <w:pStyle w:val="CellTextValue"/>
              <w:jc w:val="left"/>
            </w:pPr>
            <w:r>
              <w:rPr>
                <w:i/>
              </w:rPr>
              <w:t>Expected EU contribution per project</w:t>
            </w:r>
          </w:p>
        </w:tc>
        <w:tc>
          <w:tcPr>
            <w:tcW w:w="0" w:type="auto"/>
          </w:tcPr>
          <w:p w14:paraId="7AFC8956" w14:textId="77777777" w:rsidR="00D84031" w:rsidRDefault="007965BB">
            <w:pPr>
              <w:pStyle w:val="CellTextValue"/>
            </w:pPr>
            <w:r>
              <w:t xml:space="preserve">The Commission estimates that an EU contribution of between EUR 3.00 and 4.00 million would allow these outcomes to be addressed </w:t>
            </w:r>
            <w:r>
              <w:t>appropriately. Nonetheless, this does not preclude submission and selection of a proposal requesting different amounts.</w:t>
            </w:r>
          </w:p>
        </w:tc>
      </w:tr>
      <w:tr w:rsidR="00D84031" w14:paraId="322F6C38" w14:textId="77777777">
        <w:tc>
          <w:tcPr>
            <w:tcW w:w="0" w:type="auto"/>
          </w:tcPr>
          <w:p w14:paraId="00C9D004" w14:textId="77777777" w:rsidR="00D84031" w:rsidRDefault="007965BB">
            <w:pPr>
              <w:pStyle w:val="CellTextValue"/>
              <w:jc w:val="left"/>
            </w:pPr>
            <w:r>
              <w:rPr>
                <w:i/>
              </w:rPr>
              <w:t>Indicative budget</w:t>
            </w:r>
          </w:p>
        </w:tc>
        <w:tc>
          <w:tcPr>
            <w:tcW w:w="0" w:type="auto"/>
          </w:tcPr>
          <w:p w14:paraId="593DC806" w14:textId="77777777" w:rsidR="00D84031" w:rsidRDefault="007965BB">
            <w:pPr>
              <w:pStyle w:val="CellTextValue"/>
            </w:pPr>
            <w:r>
              <w:t>The total indicative budget for the topic is EUR 12.00 million.</w:t>
            </w:r>
          </w:p>
        </w:tc>
      </w:tr>
      <w:tr w:rsidR="00D84031" w14:paraId="73440052" w14:textId="77777777">
        <w:tc>
          <w:tcPr>
            <w:tcW w:w="0" w:type="auto"/>
          </w:tcPr>
          <w:p w14:paraId="60575DB5" w14:textId="77777777" w:rsidR="00D84031" w:rsidRDefault="007965BB">
            <w:pPr>
              <w:pStyle w:val="CellTextValue"/>
              <w:jc w:val="left"/>
            </w:pPr>
            <w:r>
              <w:rPr>
                <w:i/>
              </w:rPr>
              <w:t>Type of Action</w:t>
            </w:r>
          </w:p>
        </w:tc>
        <w:tc>
          <w:tcPr>
            <w:tcW w:w="0" w:type="auto"/>
          </w:tcPr>
          <w:p w14:paraId="12B2DFE5" w14:textId="77777777" w:rsidR="00D84031" w:rsidRDefault="007965BB">
            <w:pPr>
              <w:pStyle w:val="CellTextValue"/>
            </w:pPr>
            <w:r>
              <w:rPr>
                <w:color w:val="000000"/>
              </w:rPr>
              <w:t xml:space="preserve">Research and Innovation </w:t>
            </w:r>
            <w:r>
              <w:rPr>
                <w:color w:val="000000"/>
              </w:rPr>
              <w:t>Actions</w:t>
            </w:r>
          </w:p>
        </w:tc>
      </w:tr>
      <w:tr w:rsidR="00D84031" w14:paraId="6341EC24" w14:textId="77777777">
        <w:tc>
          <w:tcPr>
            <w:tcW w:w="0" w:type="auto"/>
          </w:tcPr>
          <w:p w14:paraId="12CD4978" w14:textId="77777777" w:rsidR="00D84031" w:rsidRDefault="007965BB">
            <w:pPr>
              <w:pStyle w:val="CellTextValue"/>
              <w:jc w:val="left"/>
            </w:pPr>
            <w:r>
              <w:rPr>
                <w:i/>
              </w:rPr>
              <w:t>Eligibility conditions</w:t>
            </w:r>
          </w:p>
        </w:tc>
        <w:tc>
          <w:tcPr>
            <w:tcW w:w="0" w:type="auto"/>
          </w:tcPr>
          <w:p w14:paraId="688847D9" w14:textId="77777777" w:rsidR="00D84031" w:rsidRDefault="007965BB">
            <w:pPr>
              <w:pStyle w:val="CellTextValue"/>
            </w:pPr>
            <w:r>
              <w:rPr>
                <w:color w:val="000000"/>
              </w:rPr>
              <w:t>The conditions are described in General Annex B. The following exceptions apply:</w:t>
            </w:r>
          </w:p>
          <w:p w14:paraId="4F394611" w14:textId="77777777" w:rsidR="00D84031" w:rsidRDefault="007965BB">
            <w:pPr>
              <w:pStyle w:val="CellTextValue"/>
            </w:pPr>
            <w:r>
              <w:rPr>
                <w:color w:val="000000"/>
              </w:rPr>
              <w:t>Subject to restrictions for the protection of European communication networks.</w:t>
            </w:r>
          </w:p>
        </w:tc>
      </w:tr>
      <w:tr w:rsidR="00D84031" w14:paraId="5E31C6A6" w14:textId="77777777">
        <w:tc>
          <w:tcPr>
            <w:tcW w:w="0" w:type="auto"/>
          </w:tcPr>
          <w:p w14:paraId="730D057B" w14:textId="77777777" w:rsidR="00D84031" w:rsidRDefault="007965BB">
            <w:pPr>
              <w:pStyle w:val="CellTextValue"/>
              <w:jc w:val="left"/>
            </w:pPr>
            <w:r>
              <w:rPr>
                <w:i/>
              </w:rPr>
              <w:t>Legal and financial set-up of the Grant Agreements</w:t>
            </w:r>
          </w:p>
        </w:tc>
        <w:tc>
          <w:tcPr>
            <w:tcW w:w="0" w:type="auto"/>
          </w:tcPr>
          <w:p w14:paraId="559828CF" w14:textId="77777777" w:rsidR="00D84031" w:rsidRDefault="007965BB">
            <w:pPr>
              <w:pStyle w:val="CellTextValue"/>
            </w:pPr>
            <w:r>
              <w:rPr>
                <w:color w:val="000000"/>
              </w:rPr>
              <w:t>The rules are described in General Annex G. The following exceptions apply:</w:t>
            </w:r>
          </w:p>
          <w:p w14:paraId="4962610B"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w:t>
            </w:r>
            <w:r>
              <w:rPr>
                <w:color w:val="000000"/>
              </w:rPr>
              <w:lastRenderedPageBreak/>
              <w:t xml:space="preserve">Research and Training Programme of the European Atomic Energy Community (2021-2025) </w:t>
            </w:r>
            <w:r>
              <w:rPr>
                <w:vertAlign w:val="superscript"/>
              </w:rPr>
              <w:footnoteReference w:id="187"/>
            </w:r>
            <w:r>
              <w:rPr>
                <w:color w:val="000000"/>
              </w:rPr>
              <w:t>.</w:t>
            </w:r>
          </w:p>
        </w:tc>
      </w:tr>
    </w:tbl>
    <w:p w14:paraId="369EBE79" w14:textId="77777777" w:rsidR="00D84031" w:rsidRDefault="00D84031">
      <w:pPr>
        <w:spacing w:after="0" w:line="150" w:lineRule="auto"/>
      </w:pPr>
    </w:p>
    <w:p w14:paraId="02FDFE94" w14:textId="77777777" w:rsidR="00D84031" w:rsidRDefault="007965BB">
      <w:r>
        <w:rPr>
          <w:u w:val="single"/>
        </w:rPr>
        <w:t>Expected Outcome</w:t>
      </w:r>
      <w:r>
        <w:t xml:space="preserve">: </w:t>
      </w:r>
      <w:r>
        <w:rPr>
          <w:color w:val="000000"/>
        </w:rPr>
        <w:t>Projects should contribute to all of the following expected outcomes:</w:t>
      </w:r>
    </w:p>
    <w:p w14:paraId="651C2657" w14:textId="77777777" w:rsidR="00D84031" w:rsidRDefault="007965BB" w:rsidP="00C62CF4">
      <w:pPr>
        <w:pStyle w:val="ListParagraph"/>
        <w:numPr>
          <w:ilvl w:val="0"/>
          <w:numId w:val="86"/>
        </w:numPr>
      </w:pPr>
      <w:r>
        <w:rPr>
          <w:color w:val="000000"/>
        </w:rPr>
        <w:t>Provide policymakers and educators and parents with a solid understanding of the potential benefits and challenges stemming from the use of artificial intelligence tools in learning environments in pre-primary and primary education, including their ethical dimension.</w:t>
      </w:r>
    </w:p>
    <w:p w14:paraId="03F7C8C1" w14:textId="77777777" w:rsidR="00D84031" w:rsidRDefault="007965BB" w:rsidP="00C62CF4">
      <w:pPr>
        <w:pStyle w:val="ListParagraph"/>
        <w:numPr>
          <w:ilvl w:val="0"/>
          <w:numId w:val="86"/>
        </w:numPr>
      </w:pPr>
      <w:r>
        <w:rPr>
          <w:color w:val="000000"/>
        </w:rPr>
        <w:t>Generate rigorous, policy-relevant evidence on the impact of use of artificial intelligence tools in learning environments on educational performance and youth well-being.</w:t>
      </w:r>
    </w:p>
    <w:p w14:paraId="53DD42DE" w14:textId="77777777" w:rsidR="00D84031" w:rsidRDefault="007965BB" w:rsidP="00C62CF4">
      <w:pPr>
        <w:pStyle w:val="ListParagraph"/>
        <w:numPr>
          <w:ilvl w:val="0"/>
          <w:numId w:val="86"/>
        </w:numPr>
      </w:pPr>
      <w:r>
        <w:rPr>
          <w:color w:val="000000"/>
        </w:rPr>
        <w:t xml:space="preserve">Develop actionable advice to educators about how they can make an effective use of artificial intelligence tools in their work, including for the assessment of learning outcomes.  </w:t>
      </w:r>
    </w:p>
    <w:p w14:paraId="6A5B25AC" w14:textId="77777777" w:rsidR="00D84031" w:rsidRDefault="007965BB">
      <w:r>
        <w:rPr>
          <w:u w:val="single"/>
        </w:rPr>
        <w:t>Scope</w:t>
      </w:r>
      <w:r>
        <w:t xml:space="preserve">: </w:t>
      </w:r>
      <w:r>
        <w:rPr>
          <w:color w:val="000000"/>
        </w:rPr>
        <w:t xml:space="preserve">The use of artificial intelligence (AI) in learning environments in pre-primary and primary education is rapidly growing. However, there is </w:t>
      </w:r>
      <w:r>
        <w:rPr>
          <w:color w:val="000000"/>
        </w:rPr>
        <w:t>limited evidence on how AI can challenge and improve learning outcomes, enhance the teaching techniques and support the teaching profession and how automating administrative tasks helps teachers focus on pedagogy and teaching challenges. Most existing research is from extra-EU contexts, which limits the transferability of findings to EU education and training systems and is often conducted on a limited number of participants and covering short-time spans, hindering the possibility of generalising its findin</w:t>
      </w:r>
      <w:r>
        <w:rPr>
          <w:color w:val="000000"/>
        </w:rPr>
        <w:t>gs. Moreover, research on the implications of AI tools for equity and inclusion in education is lacking. There is also a need to better investigate the challenges that AI poses to teaching and learning as well as pupils’ well-being. AI is developed to increase human efficiency yet also comes with often unexpected risks and challenges, especially when being applied to child audiences.</w:t>
      </w:r>
    </w:p>
    <w:p w14:paraId="45C12E52" w14:textId="77777777" w:rsidR="00D84031" w:rsidRDefault="007965BB">
      <w:r>
        <w:rPr>
          <w:color w:val="000000"/>
        </w:rPr>
        <w:t xml:space="preserve">The research could explore how AI can enhance curricula, improve teaching methods, and personalise learning through adaptive technologies. It should also consider the developmental appropriateness of AI tools for young learners, focusing on cognitive, emotional, and social growth. Research on AI’s impact on early childhood education and its role in supporting foundational skills would be valuable. Additionally, the research should emphasise teacher support, including how AI can assist with lesson planning, </w:t>
      </w:r>
      <w:r>
        <w:rPr>
          <w:color w:val="000000"/>
        </w:rPr>
        <w:t>assessment, and feedback. It should also explore training programs to help educators use AI effectively. Finally, inclusivity and accessibility are key, ensuring AI tools are suitable for all students, including those with disabilities or from diverse backgrounds, and promoting multilingual and multicultural education.</w:t>
      </w:r>
    </w:p>
    <w:p w14:paraId="1F1ADCC7" w14:textId="77777777" w:rsidR="00D84031" w:rsidRDefault="007965BB">
      <w:r>
        <w:rPr>
          <w:color w:val="000000"/>
        </w:rPr>
        <w:t>Relevant research questions to address include:</w:t>
      </w:r>
    </w:p>
    <w:p w14:paraId="649481BA" w14:textId="77777777" w:rsidR="00D84031" w:rsidRDefault="007965BB" w:rsidP="00C62CF4">
      <w:pPr>
        <w:pStyle w:val="ListParagraph"/>
        <w:numPr>
          <w:ilvl w:val="0"/>
          <w:numId w:val="87"/>
        </w:numPr>
      </w:pPr>
      <w:r>
        <w:rPr>
          <w:color w:val="000000"/>
        </w:rPr>
        <w:lastRenderedPageBreak/>
        <w:t>How can AI-powered tools personalise learning experiences safely and effectively and support teachers in addressing diverse student needs?</w:t>
      </w:r>
    </w:p>
    <w:p w14:paraId="3041A8B1" w14:textId="77777777" w:rsidR="00D84031" w:rsidRDefault="007965BB" w:rsidP="00C62CF4">
      <w:pPr>
        <w:pStyle w:val="ListParagraph"/>
        <w:numPr>
          <w:ilvl w:val="0"/>
          <w:numId w:val="87"/>
        </w:numPr>
      </w:pPr>
      <w:r>
        <w:rPr>
          <w:color w:val="000000"/>
        </w:rPr>
        <w:t>What are the potential benefits and challenges of integrating AI into initial teacher education and continuous professional development programmes?</w:t>
      </w:r>
    </w:p>
    <w:p w14:paraId="61F16C42" w14:textId="77777777" w:rsidR="00D84031" w:rsidRDefault="007965BB" w:rsidP="00C62CF4">
      <w:pPr>
        <w:pStyle w:val="ListParagraph"/>
        <w:numPr>
          <w:ilvl w:val="0"/>
          <w:numId w:val="87"/>
        </w:numPr>
      </w:pPr>
      <w:r>
        <w:rPr>
          <w:color w:val="000000"/>
        </w:rPr>
        <w:t>How can AI assist teachers in automating administrative tasks, allowing them to focus more on pedagogy and student engagement?</w:t>
      </w:r>
    </w:p>
    <w:p w14:paraId="05D317A4" w14:textId="77777777" w:rsidR="00D84031" w:rsidRDefault="007965BB" w:rsidP="00C62CF4">
      <w:pPr>
        <w:pStyle w:val="ListParagraph"/>
        <w:numPr>
          <w:ilvl w:val="0"/>
          <w:numId w:val="87"/>
        </w:numPr>
      </w:pPr>
      <w:r>
        <w:rPr>
          <w:color w:val="000000"/>
        </w:rPr>
        <w:t>What ethical considerations and potential risks should be taken into account when using AI in education to support teachers and students?</w:t>
      </w:r>
    </w:p>
    <w:p w14:paraId="0E3EA521" w14:textId="77777777" w:rsidR="00D84031" w:rsidRDefault="007965BB" w:rsidP="00C62CF4">
      <w:pPr>
        <w:pStyle w:val="ListParagraph"/>
        <w:numPr>
          <w:ilvl w:val="0"/>
          <w:numId w:val="87"/>
        </w:numPr>
      </w:pPr>
      <w:r>
        <w:rPr>
          <w:color w:val="000000"/>
        </w:rPr>
        <w:t>What is the typical profile of teachers who are currently using AI-powered tools and which uses and perceived gratifications motivate using AI-powered tool?</w:t>
      </w:r>
    </w:p>
    <w:p w14:paraId="14519F75" w14:textId="77777777" w:rsidR="00D84031" w:rsidRDefault="007965BB" w:rsidP="00C62CF4">
      <w:pPr>
        <w:pStyle w:val="ListParagraph"/>
        <w:numPr>
          <w:ilvl w:val="0"/>
          <w:numId w:val="87"/>
        </w:numPr>
      </w:pPr>
      <w:r>
        <w:rPr>
          <w:color w:val="000000"/>
        </w:rPr>
        <w:t>How can AI tools motivate children to learn?</w:t>
      </w:r>
    </w:p>
    <w:p w14:paraId="1A5F1563" w14:textId="77777777" w:rsidR="00D84031" w:rsidRDefault="007965BB" w:rsidP="00C62CF4">
      <w:pPr>
        <w:pStyle w:val="ListParagraph"/>
        <w:numPr>
          <w:ilvl w:val="0"/>
          <w:numId w:val="87"/>
        </w:numPr>
      </w:pPr>
      <w:r>
        <w:rPr>
          <w:color w:val="000000"/>
        </w:rPr>
        <w:t>How can AI-based interventions address learning gaps based on individual students’ needs and learning styles?</w:t>
      </w:r>
    </w:p>
    <w:p w14:paraId="4CC42E30" w14:textId="77777777" w:rsidR="00D84031" w:rsidRDefault="007965BB" w:rsidP="00C62CF4">
      <w:pPr>
        <w:pStyle w:val="ListParagraph"/>
        <w:numPr>
          <w:ilvl w:val="0"/>
          <w:numId w:val="87"/>
        </w:numPr>
      </w:pPr>
      <w:r>
        <w:rPr>
          <w:color w:val="000000"/>
        </w:rPr>
        <w:t>What changes do educational programmes need to perform on a pedagogical level for the successful integration of AI?</w:t>
      </w:r>
    </w:p>
    <w:p w14:paraId="1D2CBC42" w14:textId="77777777" w:rsidR="00D84031" w:rsidRDefault="007965BB" w:rsidP="00C62CF4">
      <w:pPr>
        <w:pStyle w:val="ListParagraph"/>
        <w:numPr>
          <w:ilvl w:val="0"/>
          <w:numId w:val="87"/>
        </w:numPr>
      </w:pPr>
      <w:r>
        <w:rPr>
          <w:color w:val="000000"/>
        </w:rPr>
        <w:t xml:space="preserve">What do teachers need to implement the use of AI safely and effectively?  </w:t>
      </w:r>
    </w:p>
    <w:p w14:paraId="583EFB21" w14:textId="77777777" w:rsidR="00D84031" w:rsidRDefault="007965BB">
      <w:r>
        <w:rPr>
          <w:color w:val="000000"/>
        </w:rPr>
        <w:t xml:space="preserve">Proposals can apply a variety of methods including rigorous experimental and/or quasi-experimental methods, but also experience sampling and general survey methods, to evaluate the effectiveness of existing AI tools or to test new AI </w:t>
      </w:r>
      <w:r>
        <w:rPr>
          <w:color w:val="000000"/>
        </w:rPr>
        <w:t>tools. Proposals should evaluate the costs associated with the policy measures or programmes analysed. Proposals should look at different forms of AI tools, e.g. Generative AI, Intelligent Tutoring Systems etc. Proposals should also apply qualitative research methods to cover the ethical dimensions. Interdisciplinary approaches and close cooperation with educational institutions and educators are essential. Cooperation with media literacy organisations is encouraged. Clustering and cooperation among selecte</w:t>
      </w:r>
      <w:r>
        <w:rPr>
          <w:color w:val="000000"/>
        </w:rPr>
        <w:t>d projects under this call topic and other relevant projects are strongly encouraged.</w:t>
      </w:r>
    </w:p>
    <w:p w14:paraId="033501F3" w14:textId="77777777" w:rsidR="00D84031" w:rsidRDefault="007965BB">
      <w:r>
        <w:rPr>
          <w:color w:val="000000"/>
        </w:rPr>
        <w:t>Particular attention should be paid to identifying and mitigating biases in AI systems to ensure equity and inclusion in education systems.</w:t>
      </w:r>
    </w:p>
    <w:p w14:paraId="23987C67" w14:textId="77777777" w:rsidR="00D84031" w:rsidRDefault="007965BB">
      <w:pPr>
        <w:pStyle w:val="HeadingThree"/>
      </w:pPr>
      <w:r>
        <w:t>HORIZON-CL2-2027-01-TRANSFO-06: Closing the learning gap: uncovering causes and effective policy interventions for declining youth skills in mathematics, reading, and science</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2D22C621" w14:textId="77777777" w:rsidTr="00C62CF4">
        <w:tc>
          <w:tcPr>
            <w:tcW w:w="0" w:type="auto"/>
            <w:gridSpan w:val="2"/>
          </w:tcPr>
          <w:p w14:paraId="2BE94CF2" w14:textId="77777777" w:rsidR="00D84031" w:rsidRDefault="007965BB">
            <w:pPr>
              <w:pStyle w:val="CellTextValue"/>
            </w:pPr>
            <w:r>
              <w:rPr>
                <w:b/>
              </w:rPr>
              <w:t>Call: Culture, Creativity and Inclusive Society - 2027</w:t>
            </w:r>
          </w:p>
        </w:tc>
      </w:tr>
      <w:tr w:rsidR="00C62CF4" w14:paraId="22639EC6" w14:textId="77777777" w:rsidTr="00C62CF4">
        <w:tc>
          <w:tcPr>
            <w:tcW w:w="0" w:type="auto"/>
            <w:gridSpan w:val="2"/>
          </w:tcPr>
          <w:p w14:paraId="2A17ABD1" w14:textId="77777777" w:rsidR="00D84031" w:rsidRDefault="007965BB">
            <w:pPr>
              <w:pStyle w:val="CellTextValue"/>
            </w:pPr>
            <w:r>
              <w:rPr>
                <w:b/>
              </w:rPr>
              <w:t>Specific conditions</w:t>
            </w:r>
          </w:p>
        </w:tc>
      </w:tr>
      <w:tr w:rsidR="00D84031" w14:paraId="012FCEC5" w14:textId="77777777">
        <w:tc>
          <w:tcPr>
            <w:tcW w:w="0" w:type="auto"/>
          </w:tcPr>
          <w:p w14:paraId="62CEE6D2" w14:textId="77777777" w:rsidR="00D84031" w:rsidRDefault="007965BB">
            <w:pPr>
              <w:pStyle w:val="CellTextValue"/>
              <w:jc w:val="left"/>
            </w:pPr>
            <w:r>
              <w:rPr>
                <w:i/>
              </w:rPr>
              <w:t xml:space="preserve">Expected EU </w:t>
            </w:r>
            <w:r>
              <w:rPr>
                <w:i/>
              </w:rPr>
              <w:lastRenderedPageBreak/>
              <w:t>contribution per project</w:t>
            </w:r>
          </w:p>
        </w:tc>
        <w:tc>
          <w:tcPr>
            <w:tcW w:w="0" w:type="auto"/>
          </w:tcPr>
          <w:p w14:paraId="3679FEC6" w14:textId="77777777" w:rsidR="00D84031" w:rsidRDefault="007965BB">
            <w:pPr>
              <w:pStyle w:val="CellTextValue"/>
            </w:pPr>
            <w:r>
              <w:lastRenderedPageBreak/>
              <w:t xml:space="preserve">The Commission estimates that an EU contribution of between EUR </w:t>
            </w:r>
            <w:r>
              <w:lastRenderedPageBreak/>
              <w:t>3.00 and 4.00 million would allow these outcomes to be addressed appropriately. Nonetheless, this does not preclude submission and selection of a proposal requesting different amounts.</w:t>
            </w:r>
          </w:p>
        </w:tc>
      </w:tr>
      <w:tr w:rsidR="00D84031" w14:paraId="6699B20F" w14:textId="77777777">
        <w:tc>
          <w:tcPr>
            <w:tcW w:w="0" w:type="auto"/>
          </w:tcPr>
          <w:p w14:paraId="221C1111" w14:textId="77777777" w:rsidR="00D84031" w:rsidRDefault="007965BB">
            <w:pPr>
              <w:pStyle w:val="CellTextValue"/>
              <w:jc w:val="left"/>
            </w:pPr>
            <w:r>
              <w:rPr>
                <w:i/>
              </w:rPr>
              <w:lastRenderedPageBreak/>
              <w:t>Indicative budget</w:t>
            </w:r>
          </w:p>
        </w:tc>
        <w:tc>
          <w:tcPr>
            <w:tcW w:w="0" w:type="auto"/>
          </w:tcPr>
          <w:p w14:paraId="29C7872E" w14:textId="77777777" w:rsidR="00D84031" w:rsidRDefault="007965BB">
            <w:pPr>
              <w:pStyle w:val="CellTextValue"/>
            </w:pPr>
            <w:r>
              <w:t>The total indicative budget for the topic is EUR 12.00 million.</w:t>
            </w:r>
          </w:p>
        </w:tc>
      </w:tr>
      <w:tr w:rsidR="00D84031" w14:paraId="6DE88BB8" w14:textId="77777777">
        <w:tc>
          <w:tcPr>
            <w:tcW w:w="0" w:type="auto"/>
          </w:tcPr>
          <w:p w14:paraId="3150D070" w14:textId="77777777" w:rsidR="00D84031" w:rsidRDefault="007965BB">
            <w:pPr>
              <w:pStyle w:val="CellTextValue"/>
              <w:jc w:val="left"/>
            </w:pPr>
            <w:r>
              <w:rPr>
                <w:i/>
              </w:rPr>
              <w:t>Type of Action</w:t>
            </w:r>
          </w:p>
        </w:tc>
        <w:tc>
          <w:tcPr>
            <w:tcW w:w="0" w:type="auto"/>
          </w:tcPr>
          <w:p w14:paraId="045938E6" w14:textId="77777777" w:rsidR="00D84031" w:rsidRDefault="007965BB">
            <w:pPr>
              <w:pStyle w:val="CellTextValue"/>
            </w:pPr>
            <w:r>
              <w:rPr>
                <w:color w:val="000000"/>
              </w:rPr>
              <w:t>Research and Innovation Actions</w:t>
            </w:r>
          </w:p>
        </w:tc>
      </w:tr>
      <w:tr w:rsidR="00D84031" w14:paraId="6A4DEAD0" w14:textId="77777777">
        <w:tc>
          <w:tcPr>
            <w:tcW w:w="0" w:type="auto"/>
          </w:tcPr>
          <w:p w14:paraId="0D450C94" w14:textId="77777777" w:rsidR="00D84031" w:rsidRDefault="007965BB">
            <w:pPr>
              <w:pStyle w:val="CellTextValue"/>
              <w:jc w:val="left"/>
            </w:pPr>
            <w:r>
              <w:rPr>
                <w:i/>
              </w:rPr>
              <w:t>Legal and financial set-up of the Grant Agreements</w:t>
            </w:r>
          </w:p>
        </w:tc>
        <w:tc>
          <w:tcPr>
            <w:tcW w:w="0" w:type="auto"/>
          </w:tcPr>
          <w:p w14:paraId="2D0051A0" w14:textId="77777777" w:rsidR="00D84031" w:rsidRDefault="007965BB">
            <w:pPr>
              <w:pStyle w:val="CellTextValue"/>
            </w:pPr>
            <w:r>
              <w:rPr>
                <w:color w:val="000000"/>
              </w:rPr>
              <w:t xml:space="preserve">The rules are described in General Annex G. The </w:t>
            </w:r>
            <w:r>
              <w:rPr>
                <w:color w:val="000000"/>
              </w:rPr>
              <w:t>following exceptions apply:</w:t>
            </w:r>
          </w:p>
          <w:p w14:paraId="00482206"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88"/>
            </w:r>
            <w:r>
              <w:rPr>
                <w:color w:val="000000"/>
              </w:rPr>
              <w:t>.</w:t>
            </w:r>
          </w:p>
        </w:tc>
      </w:tr>
    </w:tbl>
    <w:p w14:paraId="4A3614F7" w14:textId="77777777" w:rsidR="00D84031" w:rsidRDefault="00D84031">
      <w:pPr>
        <w:spacing w:after="0" w:line="150" w:lineRule="auto"/>
      </w:pPr>
    </w:p>
    <w:p w14:paraId="17CF2312" w14:textId="77777777" w:rsidR="00D84031" w:rsidRDefault="007965BB">
      <w:r>
        <w:rPr>
          <w:u w:val="single"/>
        </w:rPr>
        <w:t>Expected Outcome</w:t>
      </w:r>
      <w:r>
        <w:t xml:space="preserve">: </w:t>
      </w:r>
      <w:r>
        <w:rPr>
          <w:color w:val="000000"/>
        </w:rPr>
        <w:t>Projects should contribute to all of the following expected outcomes:</w:t>
      </w:r>
    </w:p>
    <w:p w14:paraId="00812D21" w14:textId="77777777" w:rsidR="00D84031" w:rsidRDefault="007965BB" w:rsidP="00C62CF4">
      <w:pPr>
        <w:pStyle w:val="ListParagraph"/>
        <w:numPr>
          <w:ilvl w:val="0"/>
          <w:numId w:val="88"/>
        </w:numPr>
      </w:pPr>
      <w:r>
        <w:rPr>
          <w:color w:val="000000"/>
        </w:rPr>
        <w:t>Provide policymakers with a solid understanding of the structural causes for the decline in young people’s skills levels in mathematics, reading and science, including low and top levels of achievement, observed in the EU over the past 15 years.</w:t>
      </w:r>
    </w:p>
    <w:p w14:paraId="76ACF851" w14:textId="77777777" w:rsidR="00D84031" w:rsidRDefault="007965BB" w:rsidP="00C62CF4">
      <w:pPr>
        <w:pStyle w:val="ListParagraph"/>
        <w:numPr>
          <w:ilvl w:val="0"/>
          <w:numId w:val="88"/>
        </w:numPr>
      </w:pPr>
      <w:r>
        <w:rPr>
          <w:color w:val="000000"/>
        </w:rPr>
        <w:t>Generate rigorous, policy-relevant evidence about which teaching practices, programmes and policy actions can be effective to reverse that decline, including the role of curricula, structural aspects of education and training systems, physical and digital learning environments, and innovative teaching and learning methods.</w:t>
      </w:r>
    </w:p>
    <w:p w14:paraId="64BF3782" w14:textId="77777777" w:rsidR="00D84031" w:rsidRDefault="007965BB" w:rsidP="00C62CF4">
      <w:pPr>
        <w:pStyle w:val="ListParagraph"/>
        <w:numPr>
          <w:ilvl w:val="0"/>
          <w:numId w:val="88"/>
        </w:numPr>
      </w:pPr>
      <w:r>
        <w:rPr>
          <w:color w:val="000000"/>
        </w:rPr>
        <w:t xml:space="preserve">Develop actionable advice to inform policy measures, programmes, future evaluations and actions for education and training systems in the field of basic skills.  </w:t>
      </w:r>
    </w:p>
    <w:p w14:paraId="16C153D1" w14:textId="77777777" w:rsidR="00D84031" w:rsidRDefault="007965BB">
      <w:r>
        <w:rPr>
          <w:u w:val="single"/>
        </w:rPr>
        <w:t>Scope</w:t>
      </w:r>
      <w:r>
        <w:t xml:space="preserve">: </w:t>
      </w:r>
      <w:r>
        <w:rPr>
          <w:color w:val="000000"/>
        </w:rPr>
        <w:t>Young people's mathematics, reading and science skills, as measured by large-scale international assessments such as the OECD Programme for International Student Assessment (PISA), have significantly declined in Europe over the past 15 years. This applies both to the low and top levels of achievement. Reversing that trend is one of the fundamental objectives of the Union of Skills.</w:t>
      </w:r>
    </w:p>
    <w:p w14:paraId="11B92762" w14:textId="77777777" w:rsidR="00D84031" w:rsidRDefault="007965BB">
      <w:r>
        <w:rPr>
          <w:color w:val="000000"/>
        </w:rPr>
        <w:t>While the research literature has well analysed the short-term impact of the COVID-19 crisis, the structural causes of the observed decline are still poorly understood. More in-depth research is necessary, using various data sources at national and international level. Several interrelated research questions remain to be addressed, such as:</w:t>
      </w:r>
    </w:p>
    <w:p w14:paraId="0728A5C2" w14:textId="77777777" w:rsidR="00D84031" w:rsidRDefault="007965BB" w:rsidP="00C62CF4">
      <w:pPr>
        <w:pStyle w:val="ListParagraph"/>
        <w:numPr>
          <w:ilvl w:val="0"/>
          <w:numId w:val="89"/>
        </w:numPr>
      </w:pPr>
      <w:r>
        <w:rPr>
          <w:color w:val="000000"/>
        </w:rPr>
        <w:lastRenderedPageBreak/>
        <w:t xml:space="preserve">How have changes in teaching methods, curriculum design, and assessment practices influenced the decline in mathematics, reading and science skills over time? </w:t>
      </w:r>
    </w:p>
    <w:p w14:paraId="3D6BBE12" w14:textId="77777777" w:rsidR="00D84031" w:rsidRDefault="007965BB" w:rsidP="00C62CF4">
      <w:pPr>
        <w:pStyle w:val="ListParagraph"/>
        <w:numPr>
          <w:ilvl w:val="0"/>
          <w:numId w:val="89"/>
        </w:numPr>
      </w:pPr>
      <w:r>
        <w:rPr>
          <w:color w:val="000000"/>
        </w:rPr>
        <w:t>What role do digital distractions and shifts in reading habits from paper to digital devices play?</w:t>
      </w:r>
    </w:p>
    <w:p w14:paraId="69679406" w14:textId="77777777" w:rsidR="00D84031" w:rsidRDefault="007965BB" w:rsidP="00C62CF4">
      <w:pPr>
        <w:pStyle w:val="ListParagraph"/>
        <w:numPr>
          <w:ilvl w:val="0"/>
          <w:numId w:val="89"/>
        </w:numPr>
      </w:pPr>
      <w:r>
        <w:rPr>
          <w:color w:val="000000"/>
        </w:rPr>
        <w:t>What is the role handwriting and drawing for cognitive development?</w:t>
      </w:r>
    </w:p>
    <w:p w14:paraId="45A6A211" w14:textId="77777777" w:rsidR="00D84031" w:rsidRDefault="007965BB" w:rsidP="00C62CF4">
      <w:pPr>
        <w:pStyle w:val="ListParagraph"/>
        <w:numPr>
          <w:ilvl w:val="0"/>
          <w:numId w:val="89"/>
        </w:numPr>
      </w:pPr>
      <w:r>
        <w:rPr>
          <w:color w:val="000000"/>
        </w:rPr>
        <w:t xml:space="preserve">What is the link between </w:t>
      </w:r>
      <w:r>
        <w:rPr>
          <w:color w:val="000000"/>
        </w:rPr>
        <w:t>acquisition of cognitive skills in maths, science and reading on the one hand and the socio-emotional skills, learning skills, self-regulation, school climate on the other.</w:t>
      </w:r>
    </w:p>
    <w:p w14:paraId="24A431A1" w14:textId="77777777" w:rsidR="00D84031" w:rsidRDefault="007965BB" w:rsidP="00C62CF4">
      <w:pPr>
        <w:pStyle w:val="ListParagraph"/>
        <w:numPr>
          <w:ilvl w:val="0"/>
          <w:numId w:val="89"/>
        </w:numPr>
      </w:pPr>
      <w:r>
        <w:rPr>
          <w:color w:val="000000"/>
        </w:rPr>
        <w:t>To what extent does the increasing (also migration-related) heterogeneity of the students make it more difficult to organise learning at school?</w:t>
      </w:r>
    </w:p>
    <w:p w14:paraId="4A10C3F5" w14:textId="77777777" w:rsidR="00D84031" w:rsidRDefault="007965BB" w:rsidP="00C62CF4">
      <w:pPr>
        <w:pStyle w:val="ListParagraph"/>
        <w:numPr>
          <w:ilvl w:val="0"/>
          <w:numId w:val="89"/>
        </w:numPr>
      </w:pPr>
      <w:r>
        <w:rPr>
          <w:color w:val="000000"/>
        </w:rPr>
        <w:t>How does parental involvement affect educational performance?</w:t>
      </w:r>
    </w:p>
    <w:p w14:paraId="003A5903" w14:textId="77777777" w:rsidR="00D84031" w:rsidRDefault="007965BB" w:rsidP="00C62CF4">
      <w:pPr>
        <w:pStyle w:val="ListParagraph"/>
        <w:numPr>
          <w:ilvl w:val="0"/>
          <w:numId w:val="89"/>
        </w:numPr>
      </w:pPr>
      <w:r>
        <w:rPr>
          <w:color w:val="000000"/>
        </w:rPr>
        <w:t>Do different levels of parental involvement affect educational performance?</w:t>
      </w:r>
    </w:p>
    <w:p w14:paraId="597574BF" w14:textId="77777777" w:rsidR="00D84031" w:rsidRDefault="007965BB" w:rsidP="00C62CF4">
      <w:pPr>
        <w:pStyle w:val="ListParagraph"/>
        <w:numPr>
          <w:ilvl w:val="0"/>
          <w:numId w:val="89"/>
        </w:numPr>
      </w:pPr>
      <w:r>
        <w:rPr>
          <w:color w:val="000000"/>
        </w:rPr>
        <w:t>What is the role of cultural institutions such as museums and libraries?</w:t>
      </w:r>
    </w:p>
    <w:p w14:paraId="0A0CA71F" w14:textId="77777777" w:rsidR="00D84031" w:rsidRDefault="007965BB" w:rsidP="00C62CF4">
      <w:pPr>
        <w:pStyle w:val="ListParagraph"/>
        <w:numPr>
          <w:ilvl w:val="0"/>
          <w:numId w:val="89"/>
        </w:numPr>
      </w:pPr>
      <w:r>
        <w:rPr>
          <w:color w:val="000000"/>
        </w:rPr>
        <w:t>What is the combined impact of socio-economic background and gender on gaps in educational performance?</w:t>
      </w:r>
    </w:p>
    <w:p w14:paraId="2274090F" w14:textId="77777777" w:rsidR="00D84031" w:rsidRDefault="007965BB" w:rsidP="00C62CF4">
      <w:pPr>
        <w:pStyle w:val="ListParagraph"/>
        <w:numPr>
          <w:ilvl w:val="0"/>
          <w:numId w:val="89"/>
        </w:numPr>
      </w:pPr>
      <w:r>
        <w:rPr>
          <w:color w:val="000000"/>
        </w:rPr>
        <w:t xml:space="preserve">How do different levels of investment in public education, and teacher shortages and working conditions affect the educational performance of children?  </w:t>
      </w:r>
    </w:p>
    <w:p w14:paraId="588C5226" w14:textId="77777777" w:rsidR="00D84031" w:rsidRDefault="007965BB">
      <w:r>
        <w:rPr>
          <w:color w:val="000000"/>
        </w:rPr>
        <w:t>Proposals should also take into account the perspective of young people and other relevant stakeholders as part of the data collection. Close cooperation with authorities and/or other institutions owning the data is essential and should be ensured.</w:t>
      </w:r>
    </w:p>
    <w:p w14:paraId="1A386382" w14:textId="77777777" w:rsidR="00D84031" w:rsidRDefault="007965BB">
      <w:r>
        <w:rPr>
          <w:color w:val="000000"/>
        </w:rPr>
        <w:t xml:space="preserve">Understanding the causes of this decline is the pre-condition for analysing the causal impact of various remedial measures and identifying effective policies and programmes to improve young people’s skills in mathematics, reading and science. Proposals should apply experimental and/or quasi-experimental methods for their analysis and could complement them with qualitative research methods. Proposals should also evaluate the costs associated with the policy measures or programmes analysed. Interdisciplinary </w:t>
      </w:r>
      <w:r>
        <w:rPr>
          <w:color w:val="000000"/>
        </w:rPr>
        <w:t>approaches, combining insights from economics, sociology, psychology, neurosciences and education sciences, and more generally, the social sciences and humanities (SSH), are encouraged. Clustering and cooperation among selected projects under this call topic and other relevant projects are strongly encouraged.</w:t>
      </w:r>
    </w:p>
    <w:p w14:paraId="004E34B1" w14:textId="77777777" w:rsidR="00D84031" w:rsidRDefault="007965BB">
      <w:pPr>
        <w:pStyle w:val="HeadingThree"/>
      </w:pPr>
      <w:r>
        <w:t>HORIZON-CL2-2027-01-TRANSFO-07: Persons with disabilities: opportunities for labour inclusion and social protection through the life course</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7C234F0D" w14:textId="77777777" w:rsidTr="00C62CF4">
        <w:tc>
          <w:tcPr>
            <w:tcW w:w="0" w:type="auto"/>
            <w:gridSpan w:val="2"/>
          </w:tcPr>
          <w:p w14:paraId="53482232" w14:textId="77777777" w:rsidR="00D84031" w:rsidRDefault="007965BB">
            <w:pPr>
              <w:pStyle w:val="CellTextValue"/>
            </w:pPr>
            <w:r>
              <w:rPr>
                <w:b/>
              </w:rPr>
              <w:t>Call: Culture, Creativity and Inclusive Society - 2027</w:t>
            </w:r>
          </w:p>
        </w:tc>
      </w:tr>
      <w:tr w:rsidR="00C62CF4" w14:paraId="5A101C97" w14:textId="77777777" w:rsidTr="00C62CF4">
        <w:tc>
          <w:tcPr>
            <w:tcW w:w="0" w:type="auto"/>
            <w:gridSpan w:val="2"/>
          </w:tcPr>
          <w:p w14:paraId="719CAB9E" w14:textId="77777777" w:rsidR="00D84031" w:rsidRDefault="007965BB">
            <w:pPr>
              <w:pStyle w:val="CellTextValue"/>
            </w:pPr>
            <w:r>
              <w:rPr>
                <w:b/>
              </w:rPr>
              <w:lastRenderedPageBreak/>
              <w:t>Specific conditions</w:t>
            </w:r>
          </w:p>
        </w:tc>
      </w:tr>
      <w:tr w:rsidR="00D84031" w14:paraId="119AA1E1" w14:textId="77777777">
        <w:tc>
          <w:tcPr>
            <w:tcW w:w="0" w:type="auto"/>
          </w:tcPr>
          <w:p w14:paraId="3725BA67" w14:textId="77777777" w:rsidR="00D84031" w:rsidRDefault="007965BB">
            <w:pPr>
              <w:pStyle w:val="CellTextValue"/>
              <w:jc w:val="left"/>
            </w:pPr>
            <w:r>
              <w:rPr>
                <w:i/>
              </w:rPr>
              <w:t>Expected EU contribution per project</w:t>
            </w:r>
          </w:p>
        </w:tc>
        <w:tc>
          <w:tcPr>
            <w:tcW w:w="0" w:type="auto"/>
          </w:tcPr>
          <w:p w14:paraId="3D6CCA53" w14:textId="77777777" w:rsidR="00D84031" w:rsidRDefault="007965BB">
            <w:pPr>
              <w:pStyle w:val="CellTextValue"/>
            </w:pPr>
            <w:r>
              <w:t xml:space="preserve">The Commission estimates that an EU contribution of between EUR 3.00 and 4.00 million would allow these outcomes to be addressed appropriately. Nonetheless, this does not preclude </w:t>
            </w:r>
            <w:r>
              <w:t>submission and selection of a proposal requesting different amounts.</w:t>
            </w:r>
          </w:p>
        </w:tc>
      </w:tr>
      <w:tr w:rsidR="00D84031" w14:paraId="71ACBC56" w14:textId="77777777">
        <w:tc>
          <w:tcPr>
            <w:tcW w:w="0" w:type="auto"/>
          </w:tcPr>
          <w:p w14:paraId="7440F267" w14:textId="77777777" w:rsidR="00D84031" w:rsidRDefault="007965BB">
            <w:pPr>
              <w:pStyle w:val="CellTextValue"/>
              <w:jc w:val="left"/>
            </w:pPr>
            <w:r>
              <w:rPr>
                <w:i/>
              </w:rPr>
              <w:t>Indicative budget</w:t>
            </w:r>
          </w:p>
        </w:tc>
        <w:tc>
          <w:tcPr>
            <w:tcW w:w="0" w:type="auto"/>
          </w:tcPr>
          <w:p w14:paraId="7AA04610" w14:textId="77777777" w:rsidR="00D84031" w:rsidRDefault="007965BB">
            <w:pPr>
              <w:pStyle w:val="CellTextValue"/>
            </w:pPr>
            <w:r>
              <w:t>The total indicative budget for the topic is EUR 12.00 million.</w:t>
            </w:r>
          </w:p>
        </w:tc>
      </w:tr>
      <w:tr w:rsidR="00D84031" w14:paraId="5F92C95D" w14:textId="77777777">
        <w:tc>
          <w:tcPr>
            <w:tcW w:w="0" w:type="auto"/>
          </w:tcPr>
          <w:p w14:paraId="0AC21812" w14:textId="77777777" w:rsidR="00D84031" w:rsidRDefault="007965BB">
            <w:pPr>
              <w:pStyle w:val="CellTextValue"/>
              <w:jc w:val="left"/>
            </w:pPr>
            <w:r>
              <w:rPr>
                <w:i/>
              </w:rPr>
              <w:t>Type of Action</w:t>
            </w:r>
          </w:p>
        </w:tc>
        <w:tc>
          <w:tcPr>
            <w:tcW w:w="0" w:type="auto"/>
          </w:tcPr>
          <w:p w14:paraId="53222282" w14:textId="77777777" w:rsidR="00D84031" w:rsidRDefault="007965BB">
            <w:pPr>
              <w:pStyle w:val="CellTextValue"/>
            </w:pPr>
            <w:r>
              <w:rPr>
                <w:color w:val="000000"/>
              </w:rPr>
              <w:t>Research and Innovation Actions</w:t>
            </w:r>
          </w:p>
        </w:tc>
      </w:tr>
      <w:tr w:rsidR="00D84031" w14:paraId="44AC5D18" w14:textId="77777777">
        <w:tc>
          <w:tcPr>
            <w:tcW w:w="0" w:type="auto"/>
          </w:tcPr>
          <w:p w14:paraId="1D43E375" w14:textId="77777777" w:rsidR="00D84031" w:rsidRDefault="007965BB">
            <w:pPr>
              <w:pStyle w:val="CellTextValue"/>
              <w:jc w:val="left"/>
            </w:pPr>
            <w:r>
              <w:rPr>
                <w:i/>
              </w:rPr>
              <w:t xml:space="preserve">Legal and financial set-up of the Grant </w:t>
            </w:r>
            <w:r>
              <w:rPr>
                <w:i/>
              </w:rPr>
              <w:t>Agreements</w:t>
            </w:r>
          </w:p>
        </w:tc>
        <w:tc>
          <w:tcPr>
            <w:tcW w:w="0" w:type="auto"/>
          </w:tcPr>
          <w:p w14:paraId="5079BDD8" w14:textId="77777777" w:rsidR="00D84031" w:rsidRDefault="007965BB">
            <w:pPr>
              <w:pStyle w:val="CellTextValue"/>
            </w:pPr>
            <w:r>
              <w:rPr>
                <w:color w:val="000000"/>
              </w:rPr>
              <w:t>The rules are described in General Annex G. The following exceptions apply:</w:t>
            </w:r>
          </w:p>
          <w:p w14:paraId="6974E61A"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89"/>
            </w:r>
            <w:r>
              <w:rPr>
                <w:color w:val="000000"/>
              </w:rPr>
              <w:t>.</w:t>
            </w:r>
          </w:p>
        </w:tc>
      </w:tr>
    </w:tbl>
    <w:p w14:paraId="237C3FE8" w14:textId="77777777" w:rsidR="00D84031" w:rsidRDefault="00D84031">
      <w:pPr>
        <w:spacing w:after="0" w:line="150" w:lineRule="auto"/>
      </w:pPr>
    </w:p>
    <w:p w14:paraId="70AC671E" w14:textId="77777777" w:rsidR="00D84031" w:rsidRDefault="007965BB">
      <w:r>
        <w:rPr>
          <w:u w:val="single"/>
        </w:rPr>
        <w:t>Expected Outcome</w:t>
      </w:r>
      <w:r>
        <w:t xml:space="preserve">: </w:t>
      </w:r>
      <w:r>
        <w:rPr>
          <w:color w:val="000000"/>
        </w:rPr>
        <w:t>Projects should contribute to two of the following expected outcomes:</w:t>
      </w:r>
    </w:p>
    <w:p w14:paraId="20FCE0D0" w14:textId="77777777" w:rsidR="00D84031" w:rsidRDefault="007965BB" w:rsidP="00C62CF4">
      <w:pPr>
        <w:pStyle w:val="ListParagraph"/>
        <w:numPr>
          <w:ilvl w:val="0"/>
          <w:numId w:val="90"/>
        </w:numPr>
      </w:pPr>
      <w:r>
        <w:rPr>
          <w:color w:val="000000"/>
        </w:rPr>
        <w:t>Provide implementable, quality, disaggregated and evidence-based data to policymakers and research and innovation stakeholders to bridge the employment gap between persons with disabilities and persons without disabilities.</w:t>
      </w:r>
    </w:p>
    <w:p w14:paraId="2049493B" w14:textId="77777777" w:rsidR="00D84031" w:rsidRDefault="007965BB" w:rsidP="00C62CF4">
      <w:pPr>
        <w:pStyle w:val="ListParagraph"/>
        <w:numPr>
          <w:ilvl w:val="0"/>
          <w:numId w:val="90"/>
        </w:numPr>
      </w:pPr>
      <w:r>
        <w:rPr>
          <w:color w:val="000000"/>
        </w:rPr>
        <w:t>Deliver scalable and replicable inclusive person-centred interventions addressing the situation of persons with disabilities in relation to the labour market in a manner that they are transferable to the new contexts of work, studying and comparing their impacts.</w:t>
      </w:r>
    </w:p>
    <w:p w14:paraId="368B22B8" w14:textId="77777777" w:rsidR="00D84031" w:rsidRDefault="007965BB" w:rsidP="00C62CF4">
      <w:pPr>
        <w:pStyle w:val="ListParagraph"/>
        <w:numPr>
          <w:ilvl w:val="0"/>
          <w:numId w:val="90"/>
        </w:numPr>
      </w:pPr>
      <w:r>
        <w:rPr>
          <w:color w:val="000000"/>
        </w:rPr>
        <w:t xml:space="preserve">Develop innovative policy approaches in the area of social protection for persons with disabilities to compensate the cost associated to disabilities, removing barriers for their participation and encourage them to engage in employment in the open labour market, while at the same time guaranteeing them an adequate level of social protection.  </w:t>
      </w:r>
    </w:p>
    <w:p w14:paraId="12BFAEDC" w14:textId="77777777" w:rsidR="00D84031" w:rsidRDefault="007965BB">
      <w:r>
        <w:rPr>
          <w:u w:val="single"/>
        </w:rPr>
        <w:t>Scope</w:t>
      </w:r>
      <w:r>
        <w:t xml:space="preserve">: </w:t>
      </w:r>
      <w:r>
        <w:rPr>
          <w:color w:val="000000"/>
        </w:rPr>
        <w:t>The UN Convention on the Rights of Persons with Disabilities</w:t>
      </w:r>
      <w:r>
        <w:rPr>
          <w:vertAlign w:val="superscript"/>
        </w:rPr>
        <w:footnoteReference w:id="190"/>
      </w:r>
      <w:r>
        <w:rPr>
          <w:color w:val="000000"/>
        </w:rPr>
        <w:t xml:space="preserve"> recognises the right to work for persons with disabilities on an equal basis with others (Art. 27). However, only half of the 42.8 million persons with disabilities of working age in the EU is employed, this being translated into an employment gap in which only 51% of persons with disabilities are </w:t>
      </w:r>
      <w:r>
        <w:rPr>
          <w:color w:val="000000"/>
        </w:rPr>
        <w:lastRenderedPageBreak/>
        <w:t>employed compared to 75% of persons without disabilities</w:t>
      </w:r>
      <w:r>
        <w:rPr>
          <w:vertAlign w:val="superscript"/>
        </w:rPr>
        <w:footnoteReference w:id="191"/>
      </w:r>
      <w:r>
        <w:rPr>
          <w:color w:val="000000"/>
        </w:rPr>
        <w:t>. In addition, persons with disabilities are overrepresented among those inactive in the labour market, not looking for a job due to different barriers, such as a generalised lack of accessibility of workplaces, inaccessible transportation, insufficient or inadequate reasonable accommodation, lack of flexibility in employment, administrative burdens or incompatibility with disability benefits.</w:t>
      </w:r>
    </w:p>
    <w:p w14:paraId="5EA3E25F" w14:textId="77777777" w:rsidR="00D84031" w:rsidRDefault="007965BB">
      <w:r>
        <w:rPr>
          <w:color w:val="000000"/>
        </w:rPr>
        <w:t>Thus, new and innovative ways of inclusion into the labour market of persons with disabilities need to be explored and tested with the objective to reduce the gaps between persons with and without disabilities, reduce inequalities and promote their social and economic inclusion on an equal basis with others. An assessment of the benefits, including for society and the economy, of employment of persons with disabilities could be carried out.</w:t>
      </w:r>
    </w:p>
    <w:p w14:paraId="5030360B" w14:textId="77777777" w:rsidR="00D84031" w:rsidRDefault="007965BB">
      <w:r>
        <w:rPr>
          <w:color w:val="000000"/>
        </w:rPr>
        <w:t>Research should address the disadvantages and barriers faced for increasing inclusion in the labour market of persons with disabilities, collect data on proved effective measures to improve the situation, and provide a thorough analysis of the impact and efficacy of existing policy measures, such as positive discrimination provisions, quotas, employment targets and others. The role of employers, their concerns and good practices for labour inclusion of persons with disabilities needs to be assessed, as well</w:t>
      </w:r>
      <w:r>
        <w:rPr>
          <w:color w:val="000000"/>
        </w:rPr>
        <w:t xml:space="preserve"> as reasons to circumvent obligations to include employees with disabilities. Moreover, discrimination against persons with disabilities during the hiring process and the impact on job retention could be addressed. </w:t>
      </w:r>
    </w:p>
    <w:p w14:paraId="64963489" w14:textId="77777777" w:rsidR="00D84031" w:rsidRDefault="007965BB">
      <w:r>
        <w:rPr>
          <w:color w:val="000000"/>
        </w:rPr>
        <w:t>Research should also take stock of existing accessible working environments tools and equipment, as well as reasonable accommodation tools and support at work already provided or still needed and their impact on the employment of persons with disabilities. The role of accessible digital services and assistive technologies and other advanced technologies such as Artificial Intelligence (AI) and its potential for advancing the labour inclusion of persons with disabilities may be explored.</w:t>
      </w:r>
    </w:p>
    <w:p w14:paraId="716A653A" w14:textId="77777777" w:rsidR="00D84031" w:rsidRDefault="007965BB">
      <w:r>
        <w:rPr>
          <w:color w:val="000000"/>
        </w:rPr>
        <w:t xml:space="preserve">Different types of work - adapted to the often-hidden talents of persons with disabilities - should be explored, taking into account their competences and abilities, disability type, level, sex and age. The transition from supported/sheltered employment to the open labour market, including different models such as self-employment and entrepreneurship, could be considered, looking for sustainable pathways to facilitate the process and to be maintained in the long run. </w:t>
      </w:r>
    </w:p>
    <w:p w14:paraId="19BA4CC5" w14:textId="77777777" w:rsidR="00D84031" w:rsidRDefault="007965BB">
      <w:r>
        <w:rPr>
          <w:color w:val="000000"/>
        </w:rPr>
        <w:t>Persons with disabilities are at a higher risk of poverty due to insufficient labour market participation in combination with insufficient social protection and insufficient compensation for extra costs related to disability, including family care. The UN Convention on the Rights of Persons with Disabilities recognises the right to social protection and to the enjoyment of that right without discrimination on the basis of disability (Art. 28).</w:t>
      </w:r>
    </w:p>
    <w:p w14:paraId="1B1FEE38" w14:textId="77777777" w:rsidR="00D84031" w:rsidRDefault="007965BB">
      <w:r>
        <w:rPr>
          <w:color w:val="000000"/>
        </w:rPr>
        <w:t xml:space="preserve">Thus, research is expected to address the issue of social protection through the life course of persons with disabilities, including different aspects such as disability benefits, possible in-kind benefits, coverage of extra costs associated to disabilities, the transition to pension age </w:t>
      </w:r>
      <w:r>
        <w:rPr>
          <w:color w:val="000000"/>
        </w:rPr>
        <w:lastRenderedPageBreak/>
        <w:t>for persons with disabilities or acquiring disabilities after pension age. Attention should be paid to measures that disincentivise or create barriers to the employment of persons with disabilities in the open labour market. Proposals should consider also the in and out of employment and the possible compatibility with other benefits, such as disability benefits avoiding the benefit trap.</w:t>
      </w:r>
      <w:r>
        <w:rPr>
          <w:b/>
          <w:color w:val="000000"/>
        </w:rPr>
        <w:t xml:space="preserve"> </w:t>
      </w:r>
      <w:r>
        <w:rPr>
          <w:color w:val="000000"/>
        </w:rPr>
        <w:t>The benefit trap needs to be addressed since it may act as a deterrent to take employment for persons with disabilities,</w:t>
      </w:r>
      <w:r>
        <w:rPr>
          <w:color w:val="000000"/>
        </w:rPr>
        <w:t xml:space="preserve"> who may lose their disability benefits and may be led to in-work poverty.</w:t>
      </w:r>
    </w:p>
    <w:p w14:paraId="3302AD37" w14:textId="77777777" w:rsidR="00D84031" w:rsidRDefault="007965BB">
      <w:r>
        <w:rPr>
          <w:color w:val="000000"/>
        </w:rPr>
        <w:t xml:space="preserve">Data collection is essential to understand the employment participation of persons with disabilities and remains a challenge to collect data disaggregated per type of disability, sex, and age. Applicants are encouraged to try to harmonize their data collection using Eurostat variables and existing international sets of questions in their areas of research.Applicants are encouraged to involve persons with disabilities and their representative organisations, stakeholders, policymakers and public authorities, </w:t>
      </w:r>
      <w:r>
        <w:rPr>
          <w:color w:val="000000"/>
        </w:rPr>
        <w:t>social services, citizens and civil society organisations, end-users and service providers.</w:t>
      </w:r>
    </w:p>
    <w:p w14:paraId="08BBECC7" w14:textId="77777777" w:rsidR="00D84031" w:rsidRDefault="007965BB">
      <w:r>
        <w:rPr>
          <w:color w:val="000000"/>
        </w:rPr>
        <w:t>Projects are also encouraged to explore potential complementarities with projects funded under the Cluster 2 topic HORIZON-CL2-2025-01-TRANSFO-9: “Good practices for increased autonomy of persons with disabilities, including physical, mental, intellectual and sensory disabilities” and Cluster 1 topic HORIZON-HLTH-2025-03-STAYHLTH-01-two-stage: “Improving the quality of life of persons with intellectual disabilities and their families”.</w:t>
      </w:r>
    </w:p>
    <w:p w14:paraId="2C7740F2" w14:textId="77777777" w:rsidR="00D84031" w:rsidRDefault="007965BB">
      <w:pPr>
        <w:pStyle w:val="HeadingThree"/>
      </w:pPr>
      <w:r>
        <w:t>HORIZON-CL2-2027-01-TRANSFO-08: Scaling and deploying innovations in migration management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2CFAFA5E" w14:textId="77777777" w:rsidTr="00C62CF4">
        <w:tc>
          <w:tcPr>
            <w:tcW w:w="0" w:type="auto"/>
            <w:gridSpan w:val="2"/>
          </w:tcPr>
          <w:p w14:paraId="760355A8" w14:textId="77777777" w:rsidR="00D84031" w:rsidRDefault="007965BB">
            <w:pPr>
              <w:pStyle w:val="CellTextValue"/>
            </w:pPr>
            <w:r>
              <w:rPr>
                <w:b/>
              </w:rPr>
              <w:t>Call: Culture, Creativity and Inclusive Society - 2027</w:t>
            </w:r>
          </w:p>
        </w:tc>
      </w:tr>
      <w:tr w:rsidR="00C62CF4" w14:paraId="3B3C4D15" w14:textId="77777777" w:rsidTr="00C62CF4">
        <w:tc>
          <w:tcPr>
            <w:tcW w:w="0" w:type="auto"/>
            <w:gridSpan w:val="2"/>
          </w:tcPr>
          <w:p w14:paraId="3363C24A" w14:textId="77777777" w:rsidR="00D84031" w:rsidRDefault="007965BB">
            <w:pPr>
              <w:pStyle w:val="CellTextValue"/>
            </w:pPr>
            <w:r>
              <w:rPr>
                <w:b/>
              </w:rPr>
              <w:t>Specific conditions</w:t>
            </w:r>
          </w:p>
        </w:tc>
      </w:tr>
      <w:tr w:rsidR="00D84031" w14:paraId="6BBB63DA" w14:textId="77777777">
        <w:tc>
          <w:tcPr>
            <w:tcW w:w="0" w:type="auto"/>
          </w:tcPr>
          <w:p w14:paraId="1365EE5B" w14:textId="77777777" w:rsidR="00D84031" w:rsidRDefault="007965BB">
            <w:pPr>
              <w:pStyle w:val="CellTextValue"/>
              <w:jc w:val="left"/>
            </w:pPr>
            <w:r>
              <w:rPr>
                <w:i/>
              </w:rPr>
              <w:t>Expected EU contribution per project</w:t>
            </w:r>
          </w:p>
        </w:tc>
        <w:tc>
          <w:tcPr>
            <w:tcW w:w="0" w:type="auto"/>
          </w:tcPr>
          <w:p w14:paraId="4875D6B9" w14:textId="77777777" w:rsidR="00D84031" w:rsidRDefault="007965BB">
            <w:pPr>
              <w:pStyle w:val="CellTextValue"/>
            </w:pPr>
            <w:r>
              <w:t xml:space="preserve">The Commission estimates that an EU contribution of between EUR 3.00 and 3.75 million would allow these outcomes to be addressed appropriately. </w:t>
            </w:r>
            <w:r>
              <w:t>Nonetheless, this does not preclude submission and selection of a proposal requesting different amounts.</w:t>
            </w:r>
          </w:p>
        </w:tc>
      </w:tr>
      <w:tr w:rsidR="00D84031" w14:paraId="60E0B399" w14:textId="77777777">
        <w:tc>
          <w:tcPr>
            <w:tcW w:w="0" w:type="auto"/>
          </w:tcPr>
          <w:p w14:paraId="0EF28A93" w14:textId="77777777" w:rsidR="00D84031" w:rsidRDefault="007965BB">
            <w:pPr>
              <w:pStyle w:val="CellTextValue"/>
              <w:jc w:val="left"/>
            </w:pPr>
            <w:r>
              <w:rPr>
                <w:i/>
              </w:rPr>
              <w:t>Indicative budget</w:t>
            </w:r>
          </w:p>
        </w:tc>
        <w:tc>
          <w:tcPr>
            <w:tcW w:w="0" w:type="auto"/>
          </w:tcPr>
          <w:p w14:paraId="09BADDEE" w14:textId="77777777" w:rsidR="00D84031" w:rsidRDefault="007965BB">
            <w:pPr>
              <w:pStyle w:val="CellTextValue"/>
            </w:pPr>
            <w:r>
              <w:t>The total indicative budget for the topic is EUR 15.00 million.</w:t>
            </w:r>
          </w:p>
        </w:tc>
      </w:tr>
      <w:tr w:rsidR="00D84031" w14:paraId="422CF08E" w14:textId="77777777">
        <w:tc>
          <w:tcPr>
            <w:tcW w:w="0" w:type="auto"/>
          </w:tcPr>
          <w:p w14:paraId="2756E101" w14:textId="77777777" w:rsidR="00D84031" w:rsidRDefault="007965BB">
            <w:pPr>
              <w:pStyle w:val="CellTextValue"/>
              <w:jc w:val="left"/>
            </w:pPr>
            <w:r>
              <w:rPr>
                <w:i/>
              </w:rPr>
              <w:t>Type of Action</w:t>
            </w:r>
          </w:p>
        </w:tc>
        <w:tc>
          <w:tcPr>
            <w:tcW w:w="0" w:type="auto"/>
          </w:tcPr>
          <w:p w14:paraId="4B02B6D5" w14:textId="77777777" w:rsidR="00D84031" w:rsidRDefault="007965BB">
            <w:pPr>
              <w:pStyle w:val="CellTextValue"/>
            </w:pPr>
            <w:r>
              <w:rPr>
                <w:color w:val="000000"/>
              </w:rPr>
              <w:t>Innovation Actions</w:t>
            </w:r>
          </w:p>
        </w:tc>
      </w:tr>
      <w:tr w:rsidR="00D84031" w14:paraId="153B171A" w14:textId="77777777">
        <w:tc>
          <w:tcPr>
            <w:tcW w:w="0" w:type="auto"/>
          </w:tcPr>
          <w:p w14:paraId="511555FF" w14:textId="77777777" w:rsidR="00D84031" w:rsidRDefault="007965BB">
            <w:pPr>
              <w:pStyle w:val="CellTextValue"/>
              <w:jc w:val="left"/>
            </w:pPr>
            <w:r>
              <w:rPr>
                <w:i/>
              </w:rPr>
              <w:t>Eligibility conditions</w:t>
            </w:r>
          </w:p>
        </w:tc>
        <w:tc>
          <w:tcPr>
            <w:tcW w:w="0" w:type="auto"/>
          </w:tcPr>
          <w:p w14:paraId="3A90EC62" w14:textId="77777777" w:rsidR="00D84031" w:rsidRDefault="007965BB">
            <w:pPr>
              <w:pStyle w:val="CellTextValue"/>
            </w:pPr>
            <w:r>
              <w:rPr>
                <w:color w:val="000000"/>
              </w:rPr>
              <w:t>The conditions are described in General Annex B. The following exceptions apply:</w:t>
            </w:r>
          </w:p>
          <w:p w14:paraId="64C92FC9" w14:textId="77777777" w:rsidR="00D84031" w:rsidRDefault="007965BB">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D84031" w14:paraId="230CB2A9" w14:textId="77777777">
        <w:tc>
          <w:tcPr>
            <w:tcW w:w="0" w:type="auto"/>
          </w:tcPr>
          <w:p w14:paraId="16F1F533" w14:textId="77777777" w:rsidR="00D84031" w:rsidRDefault="007965BB">
            <w:pPr>
              <w:pStyle w:val="CellTextValue"/>
              <w:jc w:val="left"/>
            </w:pPr>
            <w:r>
              <w:rPr>
                <w:i/>
              </w:rPr>
              <w:t xml:space="preserve">Legal and financial </w:t>
            </w:r>
            <w:r>
              <w:rPr>
                <w:i/>
              </w:rPr>
              <w:lastRenderedPageBreak/>
              <w:t>set-up of the Grant Agreements</w:t>
            </w:r>
          </w:p>
        </w:tc>
        <w:tc>
          <w:tcPr>
            <w:tcW w:w="0" w:type="auto"/>
          </w:tcPr>
          <w:p w14:paraId="5B585435" w14:textId="77777777" w:rsidR="00D84031" w:rsidRDefault="007965BB">
            <w:pPr>
              <w:pStyle w:val="CellTextValue"/>
            </w:pPr>
            <w:r>
              <w:rPr>
                <w:color w:val="000000"/>
              </w:rPr>
              <w:lastRenderedPageBreak/>
              <w:t xml:space="preserve">The rules are described in General Annex G. The following exceptions </w:t>
            </w:r>
            <w:r>
              <w:rPr>
                <w:color w:val="000000"/>
              </w:rPr>
              <w:lastRenderedPageBreak/>
              <w:t>apply:</w:t>
            </w:r>
          </w:p>
          <w:p w14:paraId="66A3554F"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92"/>
            </w:r>
            <w:r>
              <w:rPr>
                <w:color w:val="000000"/>
              </w:rPr>
              <w:t>.</w:t>
            </w:r>
          </w:p>
        </w:tc>
      </w:tr>
    </w:tbl>
    <w:p w14:paraId="392EB3A5" w14:textId="77777777" w:rsidR="00D84031" w:rsidRDefault="00D84031">
      <w:pPr>
        <w:spacing w:after="0" w:line="150" w:lineRule="auto"/>
      </w:pPr>
    </w:p>
    <w:p w14:paraId="4FAE87E6" w14:textId="77777777" w:rsidR="00D84031" w:rsidRDefault="007965BB">
      <w:r>
        <w:rPr>
          <w:u w:val="single"/>
        </w:rPr>
        <w:t>Expected Outcome</w:t>
      </w:r>
      <w:r>
        <w:t xml:space="preserve">: </w:t>
      </w:r>
      <w:r>
        <w:rPr>
          <w:color w:val="000000"/>
        </w:rPr>
        <w:t>Projects should contribute to all of the following expected outcomes:</w:t>
      </w:r>
    </w:p>
    <w:p w14:paraId="75A05CEA" w14:textId="77777777" w:rsidR="00D84031" w:rsidRDefault="007965BB" w:rsidP="00C62CF4">
      <w:pPr>
        <w:pStyle w:val="ListParagraph"/>
        <w:numPr>
          <w:ilvl w:val="0"/>
          <w:numId w:val="91"/>
        </w:numPr>
      </w:pPr>
      <w:r>
        <w:rPr>
          <w:color w:val="000000"/>
        </w:rPr>
        <w:t xml:space="preserve">Enhanced impact of EU-funded migration research by identifying and scaling up promising innovations, </w:t>
      </w:r>
      <w:r>
        <w:rPr>
          <w:color w:val="000000"/>
        </w:rPr>
        <w:t>methodologies, and tools from relevant Horizon 2020 and Horizon Europe projects.</w:t>
      </w:r>
    </w:p>
    <w:p w14:paraId="24197F76" w14:textId="77777777" w:rsidR="00D84031" w:rsidRDefault="007965BB" w:rsidP="00C62CF4">
      <w:pPr>
        <w:pStyle w:val="ListParagraph"/>
        <w:numPr>
          <w:ilvl w:val="0"/>
          <w:numId w:val="91"/>
        </w:numPr>
      </w:pPr>
      <w:r>
        <w:rPr>
          <w:color w:val="000000"/>
        </w:rPr>
        <w:t xml:space="preserve">A policy innovation ecosystem: Foster collaboration between researchers, policymakers, and practitioners to adapt, scale, and deploy validated models, ensuring their scalability, sustainability, and practical application in diverse EU, national and local contexts.  </w:t>
      </w:r>
    </w:p>
    <w:p w14:paraId="013B8E7D" w14:textId="77777777" w:rsidR="00D84031" w:rsidRDefault="007965BB">
      <w:r>
        <w:rPr>
          <w:u w:val="single"/>
        </w:rPr>
        <w:t>Scope</w:t>
      </w:r>
      <w:r>
        <w:t xml:space="preserve">: </w:t>
      </w:r>
      <w:r>
        <w:rPr>
          <w:color w:val="000000"/>
        </w:rPr>
        <w:t>Despite significant EU investment in migration research, many innovative solutions to gain insights and foresight remain underutilized in policymaking and practice. This topic aims to bridge that gap by systematically identifying, assessing, and facilitating the adoption of promising approaches developed in past EU-funded migration related projects to ensure a better fungibility between knowledge-oriented activities on past or future trends of migrations and policy making.</w:t>
      </w:r>
    </w:p>
    <w:p w14:paraId="64D602DC" w14:textId="77777777" w:rsidR="00D84031" w:rsidRDefault="007965BB">
      <w:r>
        <w:rPr>
          <w:color w:val="000000"/>
        </w:rPr>
        <w:t xml:space="preserve">Proposals should map and analyse research outputs, methodologies, and innovations from relevant Horizon 2020 and Horizon Europe migration projects, selecting those with high potential for policy uptake, operational implementation, market deployment and scaling. Proposals should consider ways to validate, adapt, and scale up these solutions across different governance levels (EU, national, local) and migration-related domains implementing high ethical standards and ensuring fundamental rights and privacy of </w:t>
      </w:r>
      <w:r>
        <w:rPr>
          <w:color w:val="000000"/>
        </w:rPr>
        <w:t>all individuals affected. Applicants are encouraged to engage key stakeholders - including policymakers and networks, migration practitioners, researchers, the private sector; groups or individuals that represent the interests of refugees and migrants and the civil society - to ensure that identified innovations align with real-world needs and implementation pathways and taking into account the political, legal, and cultural specificities of each Member State that influence implementation, while ensuring th</w:t>
      </w:r>
      <w:r>
        <w:rPr>
          <w:color w:val="000000"/>
        </w:rPr>
        <w:t xml:space="preserve">e solutions are transferable across contexts. Proposals are encouraged to take into consideration the assessment of the societal and political impacts as well as recommendations of previously funded Horizon research projects on migration. To that end, proposals are encouraged to carry out a mapping exercise. </w:t>
      </w:r>
    </w:p>
    <w:p w14:paraId="0138ADA2" w14:textId="77777777" w:rsidR="00D84031" w:rsidRDefault="007965BB">
      <w:r>
        <w:rPr>
          <w:color w:val="000000"/>
        </w:rPr>
        <w:lastRenderedPageBreak/>
        <w:t>Activities may include pilots, policy labs, co-creation processes, or other mechanisms to enhance the transferability of research outcomes into policies and operational frameworks.</w:t>
      </w:r>
    </w:p>
    <w:p w14:paraId="7669DA84" w14:textId="77777777" w:rsidR="00D84031" w:rsidRDefault="007965BB">
      <w:r>
        <w:rPr>
          <w:color w:val="000000"/>
        </w:rPr>
        <w:t>A core element of the action will be fostering a structured dialogue between the research community and decision-makers to ensure continuous knowledge transfer and innovation mainstreaming. The initiative should contribute to a more dynamic, responsive and anticipatory EU migration ecosystem in the intersection of policy and research, in line with the objectives of the EU Pact on Asylum and Migration and other relevant policy frameworks.</w:t>
      </w:r>
    </w:p>
    <w:p w14:paraId="55F102C6" w14:textId="77777777" w:rsidR="00D84031" w:rsidRDefault="007965BB">
      <w:r>
        <w:rPr>
          <w:color w:val="000000"/>
        </w:rPr>
        <w:t>Proposals may incorporate a gender-sensitive and intersectional approach in their research if relevant, by collecting data based for example on age, ability, ethnic and racial background, sex, , socioeconomic status, and religion or belief to ensure that identified migration-related innovations align with real-world needs of people in migratory situation.</w:t>
      </w:r>
    </w:p>
    <w:p w14:paraId="1A043EDF" w14:textId="77777777" w:rsidR="00D84031" w:rsidRDefault="007965BB">
      <w:r>
        <w:rPr>
          <w:color w:val="000000"/>
        </w:rPr>
        <w:t>Proposals should delineate the plans for further applications of the knowledge, solutions and findings generated by their research at national and EU level. Knowledge and findings may be used with EU co-financing of instruments such as the Asylum, Migration and Integration Fund (AMIF) and/or subsequent funding instruments.</w:t>
      </w:r>
    </w:p>
    <w:p w14:paraId="2FECBBCB" w14:textId="77777777" w:rsidR="00D84031" w:rsidRDefault="007965BB">
      <w:r>
        <w:rPr>
          <w:color w:val="000000"/>
        </w:rPr>
        <w:t>Proposals may envisage JRC participation, particularly to support the assessment, scalability and uptake of innovative solutions in migration management. The JRC could contribute with its operational knowledge of EU migration systems, policy foresight, and capacity to bridge research and policymaking.</w:t>
      </w:r>
    </w:p>
    <w:p w14:paraId="27ED18DD" w14:textId="77777777" w:rsidR="00D84031" w:rsidRDefault="007965BB">
      <w:pPr>
        <w:pStyle w:val="HeadingThree"/>
      </w:pPr>
      <w:r>
        <w:t xml:space="preserve">HORIZON-CL2-2027-02-TRANSFO-09-two-stage: Improving socio-economic outcomes for persons with dementia and informal caregivers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C62CF4" w14:paraId="0A3A8783" w14:textId="77777777" w:rsidTr="00C62CF4">
        <w:tc>
          <w:tcPr>
            <w:tcW w:w="0" w:type="auto"/>
            <w:gridSpan w:val="2"/>
          </w:tcPr>
          <w:p w14:paraId="4DDFA004" w14:textId="77777777" w:rsidR="00D84031" w:rsidRDefault="007965BB">
            <w:pPr>
              <w:pStyle w:val="CellTextValue"/>
            </w:pPr>
            <w:r>
              <w:rPr>
                <w:b/>
              </w:rPr>
              <w:t>Call: Culture, Creativity and Inclusive Society - 2027 - Two-stage</w:t>
            </w:r>
          </w:p>
        </w:tc>
      </w:tr>
      <w:tr w:rsidR="00C62CF4" w14:paraId="42A751BF" w14:textId="77777777" w:rsidTr="00C62CF4">
        <w:tc>
          <w:tcPr>
            <w:tcW w:w="0" w:type="auto"/>
            <w:gridSpan w:val="2"/>
          </w:tcPr>
          <w:p w14:paraId="026D50A2" w14:textId="77777777" w:rsidR="00D84031" w:rsidRDefault="007965BB">
            <w:pPr>
              <w:pStyle w:val="CellTextValue"/>
            </w:pPr>
            <w:r>
              <w:rPr>
                <w:b/>
              </w:rPr>
              <w:t>Specific conditions</w:t>
            </w:r>
          </w:p>
        </w:tc>
      </w:tr>
      <w:tr w:rsidR="00D84031" w14:paraId="07DF8674" w14:textId="77777777">
        <w:tc>
          <w:tcPr>
            <w:tcW w:w="0" w:type="auto"/>
          </w:tcPr>
          <w:p w14:paraId="27F7F12B" w14:textId="77777777" w:rsidR="00D84031" w:rsidRDefault="007965BB">
            <w:pPr>
              <w:pStyle w:val="CellTextValue"/>
              <w:jc w:val="left"/>
            </w:pPr>
            <w:r>
              <w:rPr>
                <w:i/>
              </w:rPr>
              <w:t>Expected EU contribution per project</w:t>
            </w:r>
          </w:p>
        </w:tc>
        <w:tc>
          <w:tcPr>
            <w:tcW w:w="0" w:type="auto"/>
          </w:tcPr>
          <w:p w14:paraId="6DEBBDDC" w14:textId="77777777" w:rsidR="00D84031" w:rsidRDefault="007965BB">
            <w:pPr>
              <w:pStyle w:val="CellTextValue"/>
            </w:pPr>
            <w:r>
              <w:t xml:space="preserve">The Commission estimates that an EU contribution of around EUR 3.20 million would allow these outcomes to be addressed </w:t>
            </w:r>
            <w:r>
              <w:t>appropriately. Nonetheless, this does not preclude submission and selection of a proposal requesting different amounts.</w:t>
            </w:r>
          </w:p>
        </w:tc>
      </w:tr>
      <w:tr w:rsidR="00D84031" w14:paraId="58F342EE" w14:textId="77777777">
        <w:tc>
          <w:tcPr>
            <w:tcW w:w="0" w:type="auto"/>
          </w:tcPr>
          <w:p w14:paraId="2535C86A" w14:textId="77777777" w:rsidR="00D84031" w:rsidRDefault="007965BB">
            <w:pPr>
              <w:pStyle w:val="CellTextValue"/>
              <w:jc w:val="left"/>
            </w:pPr>
            <w:r>
              <w:rPr>
                <w:i/>
              </w:rPr>
              <w:t>Indicative budget</w:t>
            </w:r>
          </w:p>
        </w:tc>
        <w:tc>
          <w:tcPr>
            <w:tcW w:w="0" w:type="auto"/>
          </w:tcPr>
          <w:p w14:paraId="1B564DCC" w14:textId="77777777" w:rsidR="00D84031" w:rsidRDefault="007965BB">
            <w:pPr>
              <w:pStyle w:val="CellTextValue"/>
            </w:pPr>
            <w:r>
              <w:t>The total indicative budget for the topic is EUR 16.00 million.</w:t>
            </w:r>
          </w:p>
        </w:tc>
      </w:tr>
      <w:tr w:rsidR="00D84031" w14:paraId="78BED04A" w14:textId="77777777">
        <w:tc>
          <w:tcPr>
            <w:tcW w:w="0" w:type="auto"/>
          </w:tcPr>
          <w:p w14:paraId="075B8AAB" w14:textId="77777777" w:rsidR="00D84031" w:rsidRDefault="007965BB">
            <w:pPr>
              <w:pStyle w:val="CellTextValue"/>
              <w:jc w:val="left"/>
            </w:pPr>
            <w:r>
              <w:rPr>
                <w:i/>
              </w:rPr>
              <w:t>Type of Action</w:t>
            </w:r>
          </w:p>
        </w:tc>
        <w:tc>
          <w:tcPr>
            <w:tcW w:w="0" w:type="auto"/>
          </w:tcPr>
          <w:p w14:paraId="5DE36C4E" w14:textId="77777777" w:rsidR="00D84031" w:rsidRDefault="007965BB">
            <w:pPr>
              <w:pStyle w:val="CellTextValue"/>
            </w:pPr>
            <w:r>
              <w:rPr>
                <w:color w:val="000000"/>
              </w:rPr>
              <w:t>Research and Innovation Actions</w:t>
            </w:r>
          </w:p>
        </w:tc>
      </w:tr>
      <w:tr w:rsidR="00D84031" w14:paraId="77083123" w14:textId="77777777">
        <w:tc>
          <w:tcPr>
            <w:tcW w:w="0" w:type="auto"/>
          </w:tcPr>
          <w:p w14:paraId="4B498C8F" w14:textId="77777777" w:rsidR="00D84031" w:rsidRDefault="007965BB">
            <w:pPr>
              <w:pStyle w:val="CellTextValue"/>
              <w:jc w:val="left"/>
            </w:pPr>
            <w:r>
              <w:rPr>
                <w:i/>
              </w:rPr>
              <w:t>Legal and financial set-up of the Grant Agreements</w:t>
            </w:r>
          </w:p>
        </w:tc>
        <w:tc>
          <w:tcPr>
            <w:tcW w:w="0" w:type="auto"/>
          </w:tcPr>
          <w:p w14:paraId="5FA23685" w14:textId="77777777" w:rsidR="00D84031" w:rsidRDefault="007965BB">
            <w:pPr>
              <w:pStyle w:val="CellTextValue"/>
            </w:pPr>
            <w:r>
              <w:rPr>
                <w:color w:val="000000"/>
              </w:rPr>
              <w:t>The rules are described in General Annex G. The following exceptions apply:</w:t>
            </w:r>
          </w:p>
          <w:p w14:paraId="6D126DB9" w14:textId="77777777" w:rsidR="00D84031" w:rsidRDefault="007965B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w:t>
            </w:r>
            <w:r>
              <w:rPr>
                <w:color w:val="000000"/>
              </w:rPr>
              <w:lastRenderedPageBreak/>
              <w:t xml:space="preserve">Community (2021-2025) </w:t>
            </w:r>
            <w:r>
              <w:rPr>
                <w:vertAlign w:val="superscript"/>
              </w:rPr>
              <w:footnoteReference w:id="193"/>
            </w:r>
            <w:r>
              <w:rPr>
                <w:color w:val="000000"/>
              </w:rPr>
              <w:t>.</w:t>
            </w:r>
          </w:p>
        </w:tc>
      </w:tr>
    </w:tbl>
    <w:p w14:paraId="10521151" w14:textId="77777777" w:rsidR="00D84031" w:rsidRDefault="00D84031">
      <w:pPr>
        <w:spacing w:after="0" w:line="150" w:lineRule="auto"/>
      </w:pPr>
    </w:p>
    <w:p w14:paraId="376EFECF" w14:textId="77777777" w:rsidR="00D84031" w:rsidRDefault="007965BB">
      <w:r>
        <w:rPr>
          <w:u w:val="single"/>
        </w:rPr>
        <w:t>Expected Outcome</w:t>
      </w:r>
      <w:r>
        <w:t xml:space="preserve">: </w:t>
      </w:r>
      <w:r>
        <w:rPr>
          <w:color w:val="000000"/>
        </w:rPr>
        <w:t>Projects should contribute to all of the following expected outcomes:</w:t>
      </w:r>
    </w:p>
    <w:p w14:paraId="38320F63" w14:textId="77777777" w:rsidR="00D84031" w:rsidRDefault="007965BB" w:rsidP="00C62CF4">
      <w:pPr>
        <w:pStyle w:val="ListParagraph"/>
        <w:numPr>
          <w:ilvl w:val="0"/>
          <w:numId w:val="92"/>
        </w:numPr>
      </w:pPr>
      <w:r>
        <w:rPr>
          <w:color w:val="000000"/>
        </w:rPr>
        <w:t>Persons with dementia experience improved social, mental and socio-economic outcomes through the development and implementation of person-centred interventions that enhance autonomy, inclusion, and quality of life.</w:t>
      </w:r>
    </w:p>
    <w:p w14:paraId="738507AD" w14:textId="77777777" w:rsidR="00D84031" w:rsidRDefault="007965BB" w:rsidP="00C62CF4">
      <w:pPr>
        <w:pStyle w:val="ListParagraph"/>
        <w:numPr>
          <w:ilvl w:val="0"/>
          <w:numId w:val="92"/>
        </w:numPr>
      </w:pPr>
      <w:r>
        <w:rPr>
          <w:color w:val="000000"/>
        </w:rPr>
        <w:t>Informal caregivers benefit from reduced emotional, financial, and physical burden thanks to evidence-based support measures, policies, and services that improve their well-being and economic resilience.</w:t>
      </w:r>
    </w:p>
    <w:p w14:paraId="51847953" w14:textId="77777777" w:rsidR="00D84031" w:rsidRDefault="007965BB" w:rsidP="00C62CF4">
      <w:pPr>
        <w:pStyle w:val="ListParagraph"/>
        <w:numPr>
          <w:ilvl w:val="0"/>
          <w:numId w:val="92"/>
        </w:numPr>
      </w:pPr>
      <w:r>
        <w:rPr>
          <w:color w:val="000000"/>
        </w:rPr>
        <w:t xml:space="preserve">Support networks, long-term care and </w:t>
      </w:r>
      <w:r>
        <w:rPr>
          <w:color w:val="000000"/>
        </w:rPr>
        <w:t>healthcare systems provide more integrated and accessible care for people with dementia and their caregivers through strengthened coordination between healthcare providers, long-term care and social services, and community organisations.</w:t>
      </w:r>
    </w:p>
    <w:p w14:paraId="622F3A32" w14:textId="77777777" w:rsidR="00D84031" w:rsidRDefault="007965BB" w:rsidP="00C62CF4">
      <w:pPr>
        <w:pStyle w:val="ListParagraph"/>
        <w:numPr>
          <w:ilvl w:val="0"/>
          <w:numId w:val="92"/>
        </w:numPr>
      </w:pPr>
      <w:r>
        <w:rPr>
          <w:color w:val="000000"/>
        </w:rPr>
        <w:t xml:space="preserve">Researchers and policymakers have access to improved, gender-sensitive data on dementia care to inform policies (in particular national strategies and EU aging policy), optimise resource allocation, and enhance the effectiveness of care models.  </w:t>
      </w:r>
    </w:p>
    <w:p w14:paraId="48D87039" w14:textId="77777777" w:rsidR="00D84031" w:rsidRDefault="007965BB">
      <w:r>
        <w:rPr>
          <w:u w:val="single"/>
        </w:rPr>
        <w:t>Scope</w:t>
      </w:r>
      <w:r>
        <w:t xml:space="preserve">: </w:t>
      </w:r>
      <w:r>
        <w:rPr>
          <w:color w:val="000000"/>
        </w:rPr>
        <w:t>Dementia is a progressive neurological disease. The number of people with dementia will double by 2050 in the European Union, from 10 million currently. As people with dementia lose their ability to care for themselves, care is often provided by informal caregivers, which mostly include family members, and more specifically women. In fact, 71% of the estimated time devoted to unpaid care for people with dementia is devoted by women. Women, especially those in vulnerable groups such as those from lower soc</w:t>
      </w:r>
      <w:r>
        <w:rPr>
          <w:color w:val="000000"/>
        </w:rPr>
        <w:t>io-economic backgrounds, often face additional pressures in managing caregiving responsibilities, which may exacerbate pre-existing inequalities. Furthermore, the provision of informal care has a negative impact on the social life of the caregiver, as the time spent on the person with dementia is time not spent on other friends and family. Additionally, informal care is unpaid and has been estimated to have negative financial consequences for the caregivers themselves and the society as a whole. Studies hav</w:t>
      </w:r>
      <w:r>
        <w:rPr>
          <w:color w:val="000000"/>
        </w:rPr>
        <w:t>e also shown that people with dementia and their informal caregivers have higher rates of depression than the general population.</w:t>
      </w:r>
    </w:p>
    <w:p w14:paraId="32560F4D" w14:textId="77777777" w:rsidR="00D84031" w:rsidRDefault="007965BB">
      <w:r>
        <w:rPr>
          <w:color w:val="000000"/>
        </w:rPr>
        <w:t>While there is a lot of attention for clinical research, there is far less attention for the aspects surrounding the social life, financial stability and the mental health of persons with dementia and informal caregivers. Many innovative solutions have been proposed, but few have been implemented on a wide scale. Social public policies with different design and funding that take into account the substitution and complementarities between formal and informal caregivers have been implemented to reduce the bur</w:t>
      </w:r>
      <w:r>
        <w:rPr>
          <w:color w:val="000000"/>
        </w:rPr>
        <w:t xml:space="preserve">den of the informal caregivers. What is </w:t>
      </w:r>
      <w:r>
        <w:rPr>
          <w:color w:val="000000"/>
        </w:rPr>
        <w:lastRenderedPageBreak/>
        <w:t xml:space="preserve">needed, are systemic interventions focussed on improving these aspects for patients and informal caregivers and addressing the gendered nature of caregiving. </w:t>
      </w:r>
    </w:p>
    <w:p w14:paraId="2A95D996" w14:textId="77777777" w:rsidR="00D84031" w:rsidRDefault="007965BB">
      <w:r>
        <w:rPr>
          <w:color w:val="000000"/>
        </w:rPr>
        <w:t xml:space="preserve">Priority should be given to scaling up and contextualising interventions that have already shown promise or effectiveness at smaller scale, rather than developing entirely new or untested solutions. Applicants should provide a robust methodological framework for evaluating the effectiveness of the interventions. Proposals should also assess the economic feasibility and sustainability of the interventions, including cost-effectiveness and potential integration into existing health and social care systems or </w:t>
      </w:r>
      <w:r>
        <w:rPr>
          <w:color w:val="000000"/>
        </w:rPr>
        <w:t xml:space="preserve">policy frameworks. Proposals can focus on vulnerable groups (e.g. migrants, lower socio-economic populations) for gender-responsive and inclusive interventions. Social inequality analyses are therefore also recommended. Community based models (e.g. dementia-friendly cities, peer-support groups) can be included, as well as analyses of the quality of residence of people with dementia. Proposals are encouraged to include technology and digital tools in the scope of their work. </w:t>
      </w:r>
    </w:p>
    <w:p w14:paraId="51C91673" w14:textId="77777777" w:rsidR="00D84031" w:rsidRDefault="007965BB">
      <w:r>
        <w:rPr>
          <w:color w:val="000000"/>
        </w:rPr>
        <w:t>Considering the already high burden of dementia, interventions should be implemented in at least four Member States or Associated Countries. Considering the focus, it is of the upmost importance that informal caregivers are involved in the research throughout (in the design and implementation) to ensure that interventions are tailored to the real needs of caregivers and the individuals they care for.</w:t>
      </w:r>
    </w:p>
    <w:p w14:paraId="2A6F1424" w14:textId="77777777" w:rsidR="00D84031" w:rsidRDefault="007965BB">
      <w:r>
        <w:rPr>
          <w:color w:val="000000"/>
        </w:rPr>
        <w:t>Proposals should outline clear, evidence-based strategies for tailoring, deploying, and assessing these interventions at individual, family, community, and societal levels, while addressing the specific needs of different caregiver demographics</w:t>
      </w:r>
    </w:p>
    <w:p w14:paraId="0264852B" w14:textId="77777777" w:rsidR="00D84031" w:rsidRDefault="007965BB">
      <w:r>
        <w:rPr>
          <w:color w:val="000000"/>
        </w:rPr>
        <w:t>Dementia is a progressive neurological disease. The number of people with dementia will double by 2050 in the European Union, from 10 million currently. As people with dementia lose their ability to care for themselves, care is often provided by informal caregivers, which mostly include family members, and more specifically women. In fact, 71% of the estimated time devoted to unpaid care for people with dementia is devoted by women. Women, especially those in vulnerable groups such as those from lower socio</w:t>
      </w:r>
      <w:r>
        <w:rPr>
          <w:color w:val="000000"/>
        </w:rPr>
        <w:t xml:space="preserve">-economic backgrounds, often face additional pressures in managing caregiving responsibilities, which may exacerbate pre-existing inequalities. Furthermore, the provision of informal care has a negative impact on the social life of the caregiver, as the time spent on the person with dementia is time not spent on other friends and family. Additionally, informal care is unpaid and has been estimated to have negative financial consequences for the caregivers themselves and the society as a whole. Studies have </w:t>
      </w:r>
      <w:r>
        <w:rPr>
          <w:color w:val="000000"/>
        </w:rPr>
        <w:t>also shown that people with dementia and their informal caregivers have higher rates of depression than the general population.</w:t>
      </w:r>
    </w:p>
    <w:p w14:paraId="65557F29" w14:textId="77777777" w:rsidR="00D84031" w:rsidRDefault="007965BB">
      <w:r>
        <w:rPr>
          <w:color w:val="000000"/>
        </w:rPr>
        <w:t>While there is a lot of attention for clinical research, there is far less attention for the aspects surrounding the social life, financial stability and the mental health of persons with dementia and informal caregivers. Many innovative solutions have been proposed, but few have been implemented on a wide scale. Social public policies with different design and funding that take into account the substitution and complementarities between formal and informal caregivers have been implemented to reduce the bur</w:t>
      </w:r>
      <w:r>
        <w:rPr>
          <w:color w:val="000000"/>
        </w:rPr>
        <w:t xml:space="preserve">den of the informal caregivers. What is </w:t>
      </w:r>
      <w:r>
        <w:rPr>
          <w:color w:val="000000"/>
        </w:rPr>
        <w:lastRenderedPageBreak/>
        <w:t xml:space="preserve">needed, are systemic interventions focussed on improving these aspects for patients and informal caregivers and addressing the gendered nature of caregiving. </w:t>
      </w:r>
    </w:p>
    <w:p w14:paraId="1BFC3F1C" w14:textId="77777777" w:rsidR="00D84031" w:rsidRDefault="007965BB">
      <w:r>
        <w:rPr>
          <w:color w:val="000000"/>
        </w:rPr>
        <w:t xml:space="preserve">Priority should be given to scaling up and contextualising interventions that have already shown promise or effectiveness at smaller scale, rather than developing entirely new or untested solutions. Applicants should provide a robust methodological framework for evaluating the effectiveness of the interventions. Proposals should also assess the economic feasibility and sustainability of the interventions, including cost-effectiveness and potential integration into existing health and social care systems or </w:t>
      </w:r>
      <w:r>
        <w:rPr>
          <w:color w:val="000000"/>
        </w:rPr>
        <w:t xml:space="preserve">policy frameworks. Proposals can focus on vulnerable groups (e.g. migrants, lower socio-economic populations) for gender-responsive and inclusive interventions. Social inequality analyses are therefore also recommended. Community based models (e.g. dementia-friendly cities, peer-support groups) can be included, as well as analyses of the quality of residence of people with dementia. Proposals are encouraged to include technology and digital tools in the scope of their work. </w:t>
      </w:r>
    </w:p>
    <w:p w14:paraId="370DDF47" w14:textId="77777777" w:rsidR="00D84031" w:rsidRDefault="007965BB">
      <w:r>
        <w:rPr>
          <w:color w:val="000000"/>
        </w:rPr>
        <w:t>Considering the already high burden of dementia, interventions should be implemented in at least four Member States or Associated Countries. Considering the focus, it is of the upmost importance that informal caregivers are involved in the research throughout (in the design and implementation) to ensure that interventions are tailored to the real needs of caregivers and the individuals they care for.</w:t>
      </w:r>
    </w:p>
    <w:p w14:paraId="2A3B72EC" w14:textId="77777777" w:rsidR="00D84031" w:rsidRDefault="007965BB">
      <w:r>
        <w:rPr>
          <w:color w:val="000000"/>
        </w:rPr>
        <w:t>Proposals should outline clear, evidence-based strategies for tailoring, deploying, and assessing these interventions at individual, family, community, and societal levels, while addressing the specific needs of different caregiver demographics</w:t>
      </w:r>
    </w:p>
    <w:p w14:paraId="45B49031" w14:textId="77777777" w:rsidR="00D84031" w:rsidRDefault="007965BB">
      <w:pPr>
        <w:pStyle w:val="HeadingOne"/>
        <w:pageBreakBefore/>
      </w:pPr>
      <w:r>
        <w:lastRenderedPageBreak/>
        <w:t>OTHER ACTIONS not subject to calls for proposals</w:t>
      </w:r>
    </w:p>
    <w:p w14:paraId="3B0C7414" w14:textId="77777777" w:rsidR="00D84031" w:rsidRPr="00C62CF4" w:rsidRDefault="007965BB">
      <w:pPr>
        <w:pStyle w:val="HeadingTwo"/>
        <w:rPr>
          <w:lang w:val="en-IE"/>
        </w:rPr>
      </w:pPr>
      <w:r w:rsidRPr="00C62CF4">
        <w:rPr>
          <w:lang w:val="en-IE"/>
        </w:rPr>
        <w:t>Grants to identified beneficiaries</w:t>
      </w:r>
    </w:p>
    <w:p w14:paraId="67CDF9A8" w14:textId="77777777" w:rsidR="00D84031" w:rsidRDefault="007965BB">
      <w:pPr>
        <w:pStyle w:val="HeadingThree"/>
      </w:pPr>
      <w:r>
        <w:t>1. Presidency event (Lithuania): Cultural and Creative Industries (CCI) for the Competitiveness of Europe</w:t>
      </w:r>
    </w:p>
    <w:p w14:paraId="63EF8C6D" w14:textId="77777777" w:rsidR="00D84031" w:rsidRDefault="007965BB">
      <w:r>
        <w:rPr>
          <w:b/>
          <w:color w:val="000000"/>
          <w:u w:val="single"/>
        </w:rPr>
        <w:t>Expected Outcome:</w:t>
      </w:r>
    </w:p>
    <w:p w14:paraId="77EB2F19" w14:textId="77777777" w:rsidR="00D84031" w:rsidRDefault="007965BB">
      <w:r>
        <w:rPr>
          <w:color w:val="000000"/>
        </w:rPr>
        <w:t>The project is expected to contribute to all the following expected outcomes:</w:t>
      </w:r>
    </w:p>
    <w:p w14:paraId="147ADBCE" w14:textId="77777777" w:rsidR="00D84031" w:rsidRDefault="007965BB" w:rsidP="00C62CF4">
      <w:pPr>
        <w:pStyle w:val="ListParagraph"/>
        <w:numPr>
          <w:ilvl w:val="0"/>
          <w:numId w:val="93"/>
        </w:numPr>
      </w:pPr>
      <w:r>
        <w:rPr>
          <w:color w:val="000000"/>
        </w:rPr>
        <w:t xml:space="preserve">Policymakers, industry leaders, academics and practitioners are aware of effective policy approaches to boost the Cultural and Creative </w:t>
      </w:r>
      <w:r>
        <w:rPr>
          <w:color w:val="000000"/>
        </w:rPr>
        <w:t>Industries (CCIs) as drivers of prosperity and competitiveness and are motivated to put them in practice.</w:t>
      </w:r>
    </w:p>
    <w:p w14:paraId="484F1BEB" w14:textId="77777777" w:rsidR="00D84031" w:rsidRDefault="007965BB" w:rsidP="00C62CF4">
      <w:pPr>
        <w:pStyle w:val="ListParagraph"/>
        <w:numPr>
          <w:ilvl w:val="0"/>
          <w:numId w:val="93"/>
        </w:numPr>
      </w:pPr>
      <w:r>
        <w:rPr>
          <w:color w:val="000000"/>
        </w:rPr>
        <w:t>Cross-sectorial dialogue has contributed to deeper shared insights on the key challenges, opportunities and best practice in boosting the CCIs.</w:t>
      </w:r>
    </w:p>
    <w:p w14:paraId="1DEED50C" w14:textId="77777777" w:rsidR="00D84031" w:rsidRDefault="007965BB" w:rsidP="00C62CF4">
      <w:pPr>
        <w:pStyle w:val="ListParagraph"/>
        <w:numPr>
          <w:ilvl w:val="0"/>
          <w:numId w:val="93"/>
        </w:numPr>
      </w:pPr>
      <w:r>
        <w:rPr>
          <w:color w:val="000000"/>
        </w:rPr>
        <w:t>The understanding and consensus on the role and measuring of the socio-economic impact of CCIs in fostering the competitiveness of Europe as well as of digitalisation challenges and opportunities is enhanced.</w:t>
      </w:r>
    </w:p>
    <w:p w14:paraId="6E6FFC8E" w14:textId="77777777" w:rsidR="00D84031" w:rsidRDefault="007965BB" w:rsidP="00C62CF4">
      <w:pPr>
        <w:pStyle w:val="ListParagraph"/>
        <w:numPr>
          <w:ilvl w:val="0"/>
          <w:numId w:val="93"/>
        </w:numPr>
      </w:pPr>
      <w:r>
        <w:rPr>
          <w:color w:val="000000"/>
        </w:rPr>
        <w:t>The collaboration between public and private stakeholders to foster innovation and technological adoption in CCIs is strengthened.</w:t>
      </w:r>
    </w:p>
    <w:p w14:paraId="5938D390" w14:textId="77777777" w:rsidR="00D84031" w:rsidRDefault="007965BB" w:rsidP="00C62CF4">
      <w:pPr>
        <w:pStyle w:val="ListParagraph"/>
        <w:numPr>
          <w:ilvl w:val="0"/>
          <w:numId w:val="93"/>
        </w:numPr>
      </w:pPr>
      <w:r>
        <w:rPr>
          <w:color w:val="000000"/>
        </w:rPr>
        <w:t xml:space="preserve">A widely supported declaration summarizes the important conclusions and contributes to a common momentum across the EU. </w:t>
      </w:r>
    </w:p>
    <w:p w14:paraId="74191E71" w14:textId="77777777" w:rsidR="00D84031" w:rsidRDefault="007965BB">
      <w:r>
        <w:rPr>
          <w:b/>
          <w:color w:val="000000"/>
          <w:u w:val="single"/>
        </w:rPr>
        <w:t>Expected Impact:</w:t>
      </w:r>
    </w:p>
    <w:p w14:paraId="02B1BACF" w14:textId="77777777" w:rsidR="00D84031" w:rsidRDefault="007965BB">
      <w:r>
        <w:rPr>
          <w:color w:val="000000"/>
        </w:rPr>
        <w:t>The proposal should set out a credible pathway to contributing to the following impact of the Horizon Europe Strategic Plan:</w:t>
      </w:r>
    </w:p>
    <w:p w14:paraId="77583E15" w14:textId="77777777" w:rsidR="00D84031" w:rsidRDefault="007965BB" w:rsidP="00C62CF4">
      <w:pPr>
        <w:pStyle w:val="ListParagraph"/>
        <w:numPr>
          <w:ilvl w:val="0"/>
          <w:numId w:val="94"/>
        </w:numPr>
      </w:pPr>
      <w:r>
        <w:rPr>
          <w:color w:val="000000"/>
        </w:rPr>
        <w:t xml:space="preserve">The full potential of cultural heritage, arts and cultural and creative industries and sectors as drivers of both sustainable innovation and a European sense of belonging is realised through a continuous engagement with society, citizens and economic sectors.  </w:t>
      </w:r>
    </w:p>
    <w:p w14:paraId="0F52B640" w14:textId="77777777" w:rsidR="00D84031" w:rsidRDefault="007965BB">
      <w:r>
        <w:rPr>
          <w:b/>
          <w:color w:val="000000"/>
          <w:u w:val="single"/>
        </w:rPr>
        <w:t>Scope</w:t>
      </w:r>
      <w:r>
        <w:rPr>
          <w:color w:val="000000"/>
        </w:rPr>
        <w:t>:</w:t>
      </w:r>
    </w:p>
    <w:p w14:paraId="73268126" w14:textId="77777777" w:rsidR="00D84031" w:rsidRDefault="007965BB">
      <w:r>
        <w:rPr>
          <w:color w:val="000000"/>
        </w:rPr>
        <w:t xml:space="preserve">The conference should gather experts from the EU Member States including representatives from cultural institutions, creative entrepreneurs, researchers, technology developers and policymakers. It should cover policy frameworks, innovation case studies, technological trends, and cross-sectoral impacts. The event should aim to catalyse actionable insights and foster a shared vision for the future of CCIs in Europe. </w:t>
      </w:r>
    </w:p>
    <w:p w14:paraId="27358F15" w14:textId="77777777" w:rsidR="00D84031" w:rsidRDefault="007965BB">
      <w:r>
        <w:rPr>
          <w:color w:val="000000"/>
        </w:rPr>
        <w:t>This grant will be awarded without a call for proposals according to Article 198(e) of the Financial Regulation and Article 20 of the Horizon Europe Framework Programme and Rules for Participation.</w:t>
      </w:r>
    </w:p>
    <w:p w14:paraId="4CBEF145" w14:textId="77777777" w:rsidR="00D84031" w:rsidRDefault="007965BB">
      <w:r>
        <w:rPr>
          <w:b/>
          <w:color w:val="000000"/>
          <w:u w:val="single"/>
        </w:rPr>
        <w:lastRenderedPageBreak/>
        <w:t>Procedure</w:t>
      </w:r>
      <w:r>
        <w:rPr>
          <w:color w:val="000000"/>
          <w:u w:val="single"/>
        </w:rPr>
        <w:t xml:space="preserve">: </w:t>
      </w:r>
      <w:r>
        <w:rPr>
          <w:color w:val="000000"/>
        </w:rPr>
        <w:t xml:space="preserve">The evaluation committee will be </w:t>
      </w:r>
      <w:r>
        <w:rPr>
          <w:color w:val="000000"/>
        </w:rPr>
        <w:t>composed fully by representatives of EU institutions.</w:t>
      </w:r>
    </w:p>
    <w:p w14:paraId="543AB955" w14:textId="77777777" w:rsidR="00D84031" w:rsidRDefault="007965BB">
      <w:r>
        <w:rPr>
          <w:u w:val="single"/>
        </w:rPr>
        <w:t>Legal entities</w:t>
      </w:r>
      <w:r>
        <w:t xml:space="preserve">: </w:t>
      </w:r>
    </w:p>
    <w:p w14:paraId="6BE4E6D7" w14:textId="77777777" w:rsidR="00D84031" w:rsidRDefault="007965BB">
      <w:r>
        <w:t>The Ministry of Culture of the Republic of Lithuania, legal entity (budgetary institution) code188683671, J. Basanavičiaus str. 5, LT-01118, Vilnius, E-mail: info@lrkm.lt.</w:t>
      </w:r>
    </w:p>
    <w:p w14:paraId="4778B4B3" w14:textId="77777777" w:rsidR="00D84031" w:rsidRDefault="007965BB">
      <w:r>
        <w:rPr>
          <w:u w:val="single"/>
        </w:rPr>
        <w:t>Form of Funding</w:t>
      </w:r>
      <w:r>
        <w:t>: Grants not subject to calls for proposals</w:t>
      </w:r>
    </w:p>
    <w:p w14:paraId="7CB914C2" w14:textId="77777777" w:rsidR="00D84031" w:rsidRDefault="007965BB">
      <w:r>
        <w:rPr>
          <w:u w:val="single"/>
        </w:rPr>
        <w:t>Type of Action</w:t>
      </w:r>
      <w:r>
        <w:t>: Grant to identified beneficiary according to Financial Regulation Article 198(e) - Coordination and support action</w:t>
      </w:r>
    </w:p>
    <w:p w14:paraId="635E5F98" w14:textId="77777777" w:rsidR="00D84031" w:rsidRDefault="007965BB">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368633A5" w14:textId="77777777" w:rsidR="00D84031" w:rsidRDefault="007965BB">
      <w:r>
        <w:rPr>
          <w:u w:val="single"/>
        </w:rPr>
        <w:t>Indicative timetable</w:t>
      </w:r>
      <w:r>
        <w:t>: First semester 2027</w:t>
      </w:r>
    </w:p>
    <w:p w14:paraId="55780A38" w14:textId="77777777" w:rsidR="00D84031" w:rsidRDefault="007965BB">
      <w:r>
        <w:rPr>
          <w:u w:val="single"/>
        </w:rPr>
        <w:t>Indicative budget</w:t>
      </w:r>
      <w:r>
        <w:t>: EUR 0.30 million from the 2027 budget</w:t>
      </w:r>
    </w:p>
    <w:p w14:paraId="792CF8E8" w14:textId="77777777" w:rsidR="00D84031" w:rsidRDefault="007965BB">
      <w:pPr>
        <w:pStyle w:val="HeadingThree"/>
      </w:pPr>
      <w:r>
        <w:t>2. Presidency event (Greece): Cultural Heritage for Sustainable Futures</w:t>
      </w:r>
    </w:p>
    <w:p w14:paraId="4D55D211" w14:textId="77777777" w:rsidR="00D84031" w:rsidRDefault="007965BB">
      <w:r>
        <w:rPr>
          <w:b/>
          <w:color w:val="000000"/>
          <w:u w:val="single"/>
        </w:rPr>
        <w:t>Expected Outcome:</w:t>
      </w:r>
    </w:p>
    <w:p w14:paraId="7068C4B1" w14:textId="77777777" w:rsidR="00D84031" w:rsidRDefault="007965BB">
      <w:r>
        <w:rPr>
          <w:color w:val="000000"/>
        </w:rPr>
        <w:t>The project is expected to contribute to all the following expected outcomes:</w:t>
      </w:r>
    </w:p>
    <w:p w14:paraId="7E4EB76D" w14:textId="77777777" w:rsidR="00D84031" w:rsidRDefault="007965BB">
      <w:r>
        <w:rPr>
          <w:b/>
          <w:color w:val="000000"/>
        </w:rPr>
        <w:t>Culture and Tourism</w:t>
      </w:r>
    </w:p>
    <w:p w14:paraId="2CDFDDFD" w14:textId="77777777" w:rsidR="00D84031" w:rsidRDefault="007965BB" w:rsidP="00C62CF4">
      <w:pPr>
        <w:pStyle w:val="ListParagraph"/>
        <w:numPr>
          <w:ilvl w:val="0"/>
          <w:numId w:val="95"/>
        </w:numPr>
      </w:pPr>
      <w:r>
        <w:rPr>
          <w:color w:val="000000"/>
        </w:rPr>
        <w:t xml:space="preserve">Promotion of responsible and sustainable tourism that contributes to the preservation of cultural heritage and local identity </w:t>
      </w:r>
    </w:p>
    <w:p w14:paraId="23540376" w14:textId="77777777" w:rsidR="00D84031" w:rsidRDefault="007965BB" w:rsidP="00C62CF4">
      <w:pPr>
        <w:pStyle w:val="ListParagraph"/>
        <w:numPr>
          <w:ilvl w:val="0"/>
          <w:numId w:val="95"/>
        </w:numPr>
      </w:pPr>
      <w:r>
        <w:rPr>
          <w:color w:val="000000"/>
        </w:rPr>
        <w:t>Strategies for managing overtourism and mitigating its social, environmental, and cultural impacts</w:t>
      </w:r>
    </w:p>
    <w:p w14:paraId="69158375" w14:textId="77777777" w:rsidR="00D84031" w:rsidRDefault="007965BB" w:rsidP="00C62CF4">
      <w:pPr>
        <w:pStyle w:val="ListParagraph"/>
        <w:numPr>
          <w:ilvl w:val="0"/>
          <w:numId w:val="95"/>
        </w:numPr>
      </w:pPr>
      <w:r>
        <w:rPr>
          <w:color w:val="000000"/>
        </w:rPr>
        <w:t>Models for responsible planning and site management, including through the employment of AI and other advanced technologies, ensuring cultural heritage is safeguarded in harmony with natural landscapes and local ecosystems</w:t>
      </w:r>
    </w:p>
    <w:p w14:paraId="7961052E" w14:textId="77777777" w:rsidR="00D84031" w:rsidRDefault="007965BB" w:rsidP="00C62CF4">
      <w:pPr>
        <w:pStyle w:val="ListParagraph"/>
        <w:numPr>
          <w:ilvl w:val="0"/>
          <w:numId w:val="95"/>
        </w:numPr>
      </w:pPr>
      <w:r>
        <w:rPr>
          <w:color w:val="000000"/>
        </w:rPr>
        <w:t>Participatory approaches that involve local communities and multiple stakeholders in the sustainable management of heritage and tourism</w:t>
      </w:r>
    </w:p>
    <w:p w14:paraId="1A10A236" w14:textId="77777777" w:rsidR="00D84031" w:rsidRDefault="007965BB" w:rsidP="00C62CF4">
      <w:pPr>
        <w:pStyle w:val="ListParagraph"/>
        <w:numPr>
          <w:ilvl w:val="0"/>
          <w:numId w:val="95"/>
        </w:numPr>
      </w:pPr>
      <w:r>
        <w:rPr>
          <w:color w:val="000000"/>
        </w:rPr>
        <w:t xml:space="preserve">Development of sustainable tourism practices aligned with the principles of circular economy, fostering cross-cultural appreciation of cultural sites while preserving historical integrity and cultural authenticity  </w:t>
      </w:r>
    </w:p>
    <w:p w14:paraId="0B2BA5B2" w14:textId="77777777" w:rsidR="00D84031" w:rsidRDefault="007965BB">
      <w:r>
        <w:rPr>
          <w:b/>
          <w:color w:val="000000"/>
        </w:rPr>
        <w:t>Culture and Climate</w:t>
      </w:r>
    </w:p>
    <w:p w14:paraId="24805A5C" w14:textId="77777777" w:rsidR="00D84031" w:rsidRDefault="007965BB" w:rsidP="00C62CF4">
      <w:pPr>
        <w:pStyle w:val="ListParagraph"/>
        <w:numPr>
          <w:ilvl w:val="0"/>
          <w:numId w:val="96"/>
        </w:numPr>
      </w:pPr>
      <w:r>
        <w:rPr>
          <w:color w:val="000000"/>
        </w:rPr>
        <w:lastRenderedPageBreak/>
        <w:t>Present effective measures to mitigate extreme climate impacts on cultural heritage, including preventive strategies, adaptive reuse, and resilience planning.</w:t>
      </w:r>
    </w:p>
    <w:p w14:paraId="6B1733D7" w14:textId="77777777" w:rsidR="00D84031" w:rsidRDefault="007965BB" w:rsidP="00C62CF4">
      <w:pPr>
        <w:pStyle w:val="ListParagraph"/>
        <w:numPr>
          <w:ilvl w:val="0"/>
          <w:numId w:val="96"/>
        </w:numPr>
      </w:pPr>
      <w:r>
        <w:rPr>
          <w:color w:val="000000"/>
        </w:rPr>
        <w:t>Propose innovative solutions for measuring and reducing the carbon footprint of the cultural and creative sectors.</w:t>
      </w:r>
    </w:p>
    <w:p w14:paraId="742CB6B0" w14:textId="77777777" w:rsidR="00D84031" w:rsidRDefault="007965BB" w:rsidP="00C62CF4">
      <w:pPr>
        <w:pStyle w:val="ListParagraph"/>
        <w:numPr>
          <w:ilvl w:val="0"/>
          <w:numId w:val="96"/>
        </w:numPr>
      </w:pPr>
      <w:r>
        <w:rPr>
          <w:color w:val="000000"/>
        </w:rPr>
        <w:t>Introduce tools and methodologies to monitor the contribution of cultural heritage to sustainable economic growth, climate neutrality, and social well-being.</w:t>
      </w:r>
    </w:p>
    <w:p w14:paraId="72697A3E" w14:textId="77777777" w:rsidR="00D84031" w:rsidRDefault="007965BB" w:rsidP="00C62CF4">
      <w:pPr>
        <w:pStyle w:val="ListParagraph"/>
        <w:numPr>
          <w:ilvl w:val="0"/>
          <w:numId w:val="96"/>
        </w:numPr>
      </w:pPr>
      <w:r>
        <w:rPr>
          <w:color w:val="000000"/>
        </w:rPr>
        <w:t>Strengthen the adaptive capacity of the cultural heritage sector in response to climate change and other disasters.</w:t>
      </w:r>
    </w:p>
    <w:p w14:paraId="5383838D" w14:textId="77777777" w:rsidR="00D84031" w:rsidRDefault="007965BB" w:rsidP="00C62CF4">
      <w:pPr>
        <w:pStyle w:val="ListParagraph"/>
        <w:numPr>
          <w:ilvl w:val="0"/>
          <w:numId w:val="96"/>
        </w:numPr>
      </w:pPr>
      <w:r>
        <w:rPr>
          <w:color w:val="000000"/>
        </w:rPr>
        <w:t xml:space="preserve">Highlight how tangible and intangible cultural heritage represent a resource for climate change adaptation and mitigation. </w:t>
      </w:r>
    </w:p>
    <w:p w14:paraId="775A88C4" w14:textId="77777777" w:rsidR="00D84031" w:rsidRDefault="007965BB">
      <w:r>
        <w:rPr>
          <w:b/>
          <w:color w:val="000000"/>
          <w:u w:val="single"/>
        </w:rPr>
        <w:t>Expected Impact:</w:t>
      </w:r>
    </w:p>
    <w:p w14:paraId="673DD185" w14:textId="77777777" w:rsidR="00D84031" w:rsidRDefault="007965BB" w:rsidP="00C62CF4">
      <w:pPr>
        <w:pStyle w:val="ListParagraph"/>
        <w:numPr>
          <w:ilvl w:val="0"/>
          <w:numId w:val="97"/>
        </w:numPr>
      </w:pPr>
      <w:r>
        <w:rPr>
          <w:color w:val="000000"/>
        </w:rPr>
        <w:t xml:space="preserve">The event should promote cross-sectoral dialogue and encourage innovative, participatory solutions that embed cultural heritage in broader sustainability strategies. </w:t>
      </w:r>
    </w:p>
    <w:p w14:paraId="499BC125" w14:textId="77777777" w:rsidR="00D84031" w:rsidRDefault="007965BB" w:rsidP="00C62CF4">
      <w:pPr>
        <w:pStyle w:val="ListParagraph"/>
        <w:numPr>
          <w:ilvl w:val="0"/>
          <w:numId w:val="97"/>
        </w:numPr>
      </w:pPr>
      <w:r>
        <w:rPr>
          <w:color w:val="000000"/>
        </w:rPr>
        <w:t xml:space="preserve">It should contribute to integrating cultural heritage into climate change initiatives and help improve adaptation and mitigation plans. </w:t>
      </w:r>
    </w:p>
    <w:p w14:paraId="774D7C82" w14:textId="77777777" w:rsidR="00D84031" w:rsidRDefault="007965BB" w:rsidP="00C62CF4">
      <w:pPr>
        <w:pStyle w:val="ListParagraph"/>
        <w:numPr>
          <w:ilvl w:val="0"/>
          <w:numId w:val="97"/>
        </w:numPr>
      </w:pPr>
      <w:r>
        <w:rPr>
          <w:color w:val="000000"/>
        </w:rPr>
        <w:t xml:space="preserve">By addressing key challenges such as overtourism and climate risks, the event should support the development of responsible tourism models, enhance the cultural sector’s resilience, and reinforce the role of cultural heritage as a catalyst for local development, social cohesion, and sustainable growth. </w:t>
      </w:r>
    </w:p>
    <w:p w14:paraId="72AE7FC9" w14:textId="77777777" w:rsidR="00D84031" w:rsidRDefault="007965BB" w:rsidP="00C62CF4">
      <w:pPr>
        <w:pStyle w:val="ListParagraph"/>
        <w:numPr>
          <w:ilvl w:val="0"/>
          <w:numId w:val="97"/>
        </w:numPr>
      </w:pPr>
      <w:r>
        <w:rPr>
          <w:color w:val="000000"/>
        </w:rPr>
        <w:t xml:space="preserve">The outcomes are expected to inform future EU policies, research priorities, and collaborative initiatives within Horizon Europe and beyond.  </w:t>
      </w:r>
    </w:p>
    <w:p w14:paraId="2B6925E7" w14:textId="77777777" w:rsidR="00D84031" w:rsidRDefault="007965BB">
      <w:r>
        <w:rPr>
          <w:b/>
          <w:color w:val="000000"/>
          <w:u w:val="single"/>
        </w:rPr>
        <w:t>Scope</w:t>
      </w:r>
      <w:r>
        <w:rPr>
          <w:color w:val="000000"/>
        </w:rPr>
        <w:t>:</w:t>
      </w:r>
    </w:p>
    <w:p w14:paraId="7BDFC756" w14:textId="77777777" w:rsidR="00D84031" w:rsidRDefault="007965BB">
      <w:r>
        <w:rPr>
          <w:color w:val="000000"/>
        </w:rPr>
        <w:t>The event should tackle the dual challenge of safeguarding cultural heritage while advancing sustainable development and climate adaptability. It should explore the contribution of cultural heritage to the European Green Deal, the digital and social transitions, and sustainable tourism, with a particular emphasis on responsible planning, community-driven approaches, and the circular economy. The event should convene policymakers, researchers, cultural practitioners, tourism professionals, and local communit</w:t>
      </w:r>
      <w:r>
        <w:rPr>
          <w:color w:val="000000"/>
        </w:rPr>
        <w:t>ies to share best practices, co-create innovative solutions, and foster inclusive, participatory management models that balance cultural, environmental, and economic objectives. Special focus should be given to addressing the impacts of climate change and overtourism on cultural sites - while ensuring that cultural heritage remains a dynamic, inclusive, and accessible resource for future generations.</w:t>
      </w:r>
    </w:p>
    <w:p w14:paraId="52EF25D4" w14:textId="77777777" w:rsidR="00D84031" w:rsidRDefault="007965BB">
      <w:r>
        <w:rPr>
          <w:color w:val="000000"/>
        </w:rPr>
        <w:t>This grant will be awarded without a call for proposals according to Article 198(e) of the Financial Regulation and Article 20 of the Horizon Europe Framework Programme and Rules for Participation.</w:t>
      </w:r>
    </w:p>
    <w:p w14:paraId="3B8B0BF5" w14:textId="77777777" w:rsidR="00D84031" w:rsidRDefault="007965BB">
      <w:r>
        <w:rPr>
          <w:b/>
          <w:color w:val="000000"/>
          <w:u w:val="single"/>
        </w:rPr>
        <w:lastRenderedPageBreak/>
        <w:t>Procedure</w:t>
      </w:r>
      <w:r>
        <w:rPr>
          <w:color w:val="000000"/>
          <w:u w:val="single"/>
        </w:rPr>
        <w:t xml:space="preserve">: </w:t>
      </w:r>
      <w:r>
        <w:rPr>
          <w:color w:val="000000"/>
        </w:rPr>
        <w:t>The evaluation committee will be composed fully by representatives of EU institutions.</w:t>
      </w:r>
    </w:p>
    <w:p w14:paraId="60569CF4" w14:textId="77777777" w:rsidR="00D84031" w:rsidRDefault="007965BB">
      <w:r>
        <w:rPr>
          <w:u w:val="single"/>
        </w:rPr>
        <w:t>Legal entities</w:t>
      </w:r>
      <w:r>
        <w:t xml:space="preserve">: </w:t>
      </w:r>
    </w:p>
    <w:p w14:paraId="75D02C81" w14:textId="77777777" w:rsidR="00D84031" w:rsidRDefault="007965BB">
      <w:r>
        <w:t>GENIKI GRAMMATIA EREVNAS KAI KAINOTOMIAS (GSRI), GENERAL SECRETARIAT FOR RESEARCH AND INNOVATION, Mesogeion Avenue 14-18, Athens 115 10, Greece</w:t>
      </w:r>
    </w:p>
    <w:p w14:paraId="4E485855" w14:textId="77777777" w:rsidR="00D84031" w:rsidRDefault="007965BB">
      <w:r>
        <w:rPr>
          <w:u w:val="single"/>
        </w:rPr>
        <w:t>Form of Funding</w:t>
      </w:r>
      <w:r>
        <w:t>: Grants not subject to calls for proposals</w:t>
      </w:r>
    </w:p>
    <w:p w14:paraId="48719E4E" w14:textId="77777777" w:rsidR="00D84031" w:rsidRDefault="007965BB">
      <w:r>
        <w:rPr>
          <w:u w:val="single"/>
        </w:rPr>
        <w:t>Type of Action</w:t>
      </w:r>
      <w:r>
        <w:t>: Grant to identified beneficiary according to Financial Regulation Article 198(e) - Coordination and support action</w:t>
      </w:r>
    </w:p>
    <w:p w14:paraId="49D2DF9E" w14:textId="77777777" w:rsidR="00D84031" w:rsidRDefault="007965BB">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39D97C9A" w14:textId="77777777" w:rsidR="00D84031" w:rsidRDefault="007965BB">
      <w:r>
        <w:rPr>
          <w:u w:val="single"/>
        </w:rPr>
        <w:t>Indicative timetable</w:t>
      </w:r>
      <w:r>
        <w:t>: Second semester 2027</w:t>
      </w:r>
    </w:p>
    <w:p w14:paraId="678DEF5E" w14:textId="77777777" w:rsidR="00D84031" w:rsidRDefault="007965BB">
      <w:r>
        <w:rPr>
          <w:u w:val="single"/>
        </w:rPr>
        <w:t>Indicative budget</w:t>
      </w:r>
      <w:r>
        <w:t>: EUR 0.30 million from the 2027 budget</w:t>
      </w:r>
    </w:p>
    <w:p w14:paraId="4B24D7AB" w14:textId="77777777" w:rsidR="00D84031" w:rsidRPr="00C62CF4" w:rsidRDefault="007965BB">
      <w:pPr>
        <w:pStyle w:val="HeadingTwo"/>
        <w:rPr>
          <w:lang w:val="en-IE"/>
        </w:rPr>
      </w:pPr>
      <w:r w:rsidRPr="00C62CF4">
        <w:rPr>
          <w:lang w:val="en-IE"/>
        </w:rPr>
        <w:t>Public procurements</w:t>
      </w:r>
    </w:p>
    <w:p w14:paraId="5F7291E3" w14:textId="77777777" w:rsidR="00D84031" w:rsidRDefault="007965BB">
      <w:pPr>
        <w:pStyle w:val="HeadingThree"/>
      </w:pPr>
      <w:r>
        <w:t>1. Studies, conferences, events and outreach activities</w:t>
      </w:r>
    </w:p>
    <w:p w14:paraId="49539857" w14:textId="77777777" w:rsidR="00D84031" w:rsidRDefault="007965BB">
      <w:r>
        <w:rPr>
          <w:color w:val="000000"/>
        </w:rPr>
        <w:t xml:space="preserve">A number of specific contracts will be signed under existing framework contracts in order to: (i) support the dissemination and exploitation of project results; (ii) contribute to the definition of future challenge priorities; (iii) undertake citizen surveys such as Eurobarometers, (iv) carry out specific evaluations of programme parts; and (v) organise conferences, events and outreach activities. Should existing framework contracts prove unsuitable or insufficient to support the abovementioned activities, </w:t>
      </w:r>
      <w:r>
        <w:rPr>
          <w:color w:val="000000"/>
        </w:rPr>
        <w:t>one or more calls for tender may be launched as appropriate.</w:t>
      </w:r>
    </w:p>
    <w:p w14:paraId="27082A82" w14:textId="77777777" w:rsidR="00D84031" w:rsidRDefault="007965BB">
      <w:r>
        <w:rPr>
          <w:color w:val="000000"/>
          <w:u w:val="single"/>
        </w:rPr>
        <w:t>Subject matter of the contracts envisaged</w:t>
      </w:r>
      <w:r>
        <w:rPr>
          <w:color w:val="000000"/>
        </w:rPr>
        <w:t>: studies, technical assistance, conferences, events and outreach activities within the scope of Cluster 2 ‘Culture, Creativity and Inclusive Society’.</w:t>
      </w:r>
    </w:p>
    <w:p w14:paraId="7F537C16" w14:textId="77777777" w:rsidR="00D84031" w:rsidRDefault="007965BB">
      <w:r>
        <w:rPr>
          <w:u w:val="single"/>
        </w:rPr>
        <w:t>Form of Funding</w:t>
      </w:r>
      <w:r>
        <w:t>: Procurement</w:t>
      </w:r>
    </w:p>
    <w:p w14:paraId="40CC6768" w14:textId="77777777" w:rsidR="00D84031" w:rsidRDefault="007965BB">
      <w:r>
        <w:rPr>
          <w:u w:val="single"/>
        </w:rPr>
        <w:t>Type of Action</w:t>
      </w:r>
      <w:r>
        <w:t>: Public procurement</w:t>
      </w:r>
    </w:p>
    <w:p w14:paraId="7CA7CDBB" w14:textId="77777777" w:rsidR="00D84031" w:rsidRDefault="007965BB">
      <w:r>
        <w:rPr>
          <w:u w:val="single"/>
        </w:rPr>
        <w:t>Indicative timetable</w:t>
      </w:r>
      <w:r>
        <w:t>: 2026</w:t>
      </w:r>
    </w:p>
    <w:p w14:paraId="4C8C6DAD" w14:textId="77777777" w:rsidR="00D84031" w:rsidRDefault="007965BB">
      <w:r>
        <w:rPr>
          <w:u w:val="single"/>
        </w:rPr>
        <w:t>Indicative budget</w:t>
      </w:r>
      <w:r>
        <w:t>: EUR 1.00 million from the 2026 budget</w:t>
      </w:r>
    </w:p>
    <w:p w14:paraId="425871AB" w14:textId="77777777" w:rsidR="00D84031" w:rsidRDefault="007965BB">
      <w:pPr>
        <w:pStyle w:val="HeadingThree"/>
      </w:pPr>
      <w:r>
        <w:lastRenderedPageBreak/>
        <w:t>2. Studies, conferences, events and outreach activities</w:t>
      </w:r>
    </w:p>
    <w:p w14:paraId="560D9592" w14:textId="77777777" w:rsidR="00D84031" w:rsidRDefault="007965BB">
      <w:r>
        <w:rPr>
          <w:color w:val="000000"/>
        </w:rPr>
        <w:t xml:space="preserve">A number of specific contracts will be signed under existing framework contracts in order to: (i) support the dissemination and exploitation of project results; (ii) contribute to the definition of future challenge priorities; (iii) undertake citizen surveys such as Eurobarometers, (iv) carry out specific evaluations of programme parts; and (v) organise conferences, events and outreach activities. Should existing framework contracts prove unsuitable or insufficient to support the abovementioned activities, </w:t>
      </w:r>
      <w:r>
        <w:rPr>
          <w:color w:val="000000"/>
        </w:rPr>
        <w:t>one or more calls for tender may be launched as appropriate.</w:t>
      </w:r>
    </w:p>
    <w:p w14:paraId="622FE3D2" w14:textId="77777777" w:rsidR="00D84031" w:rsidRDefault="007965BB">
      <w:r>
        <w:rPr>
          <w:color w:val="000000"/>
          <w:u w:val="single"/>
        </w:rPr>
        <w:t>Subject matter of the contracts envisaged</w:t>
      </w:r>
      <w:r>
        <w:rPr>
          <w:color w:val="000000"/>
        </w:rPr>
        <w:t>: studies, technical assistance, conferences, events and outreach activities within the scope of Cluster 2 ‘Culture, Creativity and Inclusive Society’.</w:t>
      </w:r>
    </w:p>
    <w:p w14:paraId="6243CAB3" w14:textId="77777777" w:rsidR="00D84031" w:rsidRDefault="007965BB">
      <w:r>
        <w:rPr>
          <w:u w:val="single"/>
        </w:rPr>
        <w:t>Form of Funding</w:t>
      </w:r>
      <w:r>
        <w:t>: Procurement</w:t>
      </w:r>
    </w:p>
    <w:p w14:paraId="5DC425F1" w14:textId="77777777" w:rsidR="00D84031" w:rsidRDefault="007965BB">
      <w:r>
        <w:rPr>
          <w:u w:val="single"/>
        </w:rPr>
        <w:t>Type of Action</w:t>
      </w:r>
      <w:r>
        <w:t>: Public procurement</w:t>
      </w:r>
    </w:p>
    <w:p w14:paraId="48F0847D" w14:textId="77777777" w:rsidR="00D84031" w:rsidRDefault="007965BB">
      <w:r>
        <w:rPr>
          <w:u w:val="single"/>
        </w:rPr>
        <w:t>Indicative timetable</w:t>
      </w:r>
      <w:r>
        <w:t>: 2027</w:t>
      </w:r>
    </w:p>
    <w:p w14:paraId="4E178581" w14:textId="77777777" w:rsidR="00D84031" w:rsidRDefault="007965BB">
      <w:r>
        <w:rPr>
          <w:u w:val="single"/>
        </w:rPr>
        <w:t>Indicative budget</w:t>
      </w:r>
      <w:r>
        <w:t>: EUR 1.00 million from the 2027 budget</w:t>
      </w:r>
    </w:p>
    <w:p w14:paraId="77697463" w14:textId="77777777" w:rsidR="00D84031" w:rsidRPr="00C62CF4" w:rsidRDefault="007965BB">
      <w:pPr>
        <w:pStyle w:val="HeadingTwo"/>
        <w:rPr>
          <w:lang w:val="en-IE"/>
        </w:rPr>
      </w:pPr>
      <w:r w:rsidRPr="00C62CF4">
        <w:rPr>
          <w:lang w:val="en-IE"/>
        </w:rPr>
        <w:t>Other budget implementation instruments</w:t>
      </w:r>
    </w:p>
    <w:p w14:paraId="23A2E198" w14:textId="77777777" w:rsidR="00D84031" w:rsidRDefault="007965BB">
      <w:pPr>
        <w:pStyle w:val="HeadingThree"/>
      </w:pPr>
      <w:r>
        <w:t>1. Expertise for the design, implementation and evaluation of Cluster 2, Culture, Creativity and Inclusive Society</w:t>
      </w:r>
    </w:p>
    <w:p w14:paraId="3AB53FCA" w14:textId="77777777" w:rsidR="00D84031" w:rsidRDefault="007965BB">
      <w:r>
        <w:rPr>
          <w:color w:val="000000"/>
        </w:rPr>
        <w:t xml:space="preserve">This action will support the provision of independent expertise for advising and </w:t>
      </w:r>
      <w:r>
        <w:rPr>
          <w:color w:val="000000"/>
        </w:rPr>
        <w:t>assisting the Commission services with the design, implementation and evaluation of EU research and innovation policies in the thematic areas covered by Cluster 2. Individual experts will work in the following policy and thematic areas:</w:t>
      </w:r>
    </w:p>
    <w:p w14:paraId="565CEB5E" w14:textId="77777777" w:rsidR="00D84031" w:rsidRDefault="007965BB" w:rsidP="00C62CF4">
      <w:pPr>
        <w:pStyle w:val="ListParagraph"/>
        <w:numPr>
          <w:ilvl w:val="0"/>
          <w:numId w:val="98"/>
        </w:numPr>
      </w:pPr>
      <w:r>
        <w:rPr>
          <w:color w:val="000000"/>
        </w:rPr>
        <w:t>Democracy and governance</w:t>
      </w:r>
    </w:p>
    <w:p w14:paraId="45BE5DD3" w14:textId="77777777" w:rsidR="00D84031" w:rsidRDefault="007965BB" w:rsidP="00C62CF4">
      <w:pPr>
        <w:pStyle w:val="ListParagraph"/>
        <w:numPr>
          <w:ilvl w:val="0"/>
          <w:numId w:val="98"/>
        </w:numPr>
      </w:pPr>
      <w:r>
        <w:rPr>
          <w:color w:val="000000"/>
        </w:rPr>
        <w:t>Cultural heritage, cultural and creative sectors and industries</w:t>
      </w:r>
    </w:p>
    <w:p w14:paraId="332237FA" w14:textId="77777777" w:rsidR="00D84031" w:rsidRDefault="007965BB" w:rsidP="00C62CF4">
      <w:pPr>
        <w:pStyle w:val="ListParagraph"/>
        <w:numPr>
          <w:ilvl w:val="0"/>
          <w:numId w:val="98"/>
        </w:numPr>
      </w:pPr>
      <w:r>
        <w:rPr>
          <w:color w:val="000000"/>
        </w:rPr>
        <w:t>Social and economic transformations</w:t>
      </w:r>
    </w:p>
    <w:p w14:paraId="42CA40DF" w14:textId="77777777" w:rsidR="00D84031" w:rsidRDefault="007965BB" w:rsidP="00C62CF4">
      <w:pPr>
        <w:pStyle w:val="ListParagraph"/>
        <w:numPr>
          <w:ilvl w:val="0"/>
          <w:numId w:val="98"/>
        </w:numPr>
      </w:pPr>
      <w:r>
        <w:rPr>
          <w:color w:val="000000"/>
        </w:rPr>
        <w:t>Migration, refugee and asylum policies</w:t>
      </w:r>
    </w:p>
    <w:p w14:paraId="642776B0" w14:textId="77777777" w:rsidR="00D84031" w:rsidRDefault="007965BB" w:rsidP="00C62CF4">
      <w:pPr>
        <w:pStyle w:val="ListParagraph"/>
        <w:numPr>
          <w:ilvl w:val="0"/>
          <w:numId w:val="98"/>
        </w:numPr>
      </w:pPr>
      <w:r>
        <w:rPr>
          <w:color w:val="000000"/>
        </w:rPr>
        <w:t>Social sciences and humanities, including their integration in Horizon Europe programme parts</w:t>
      </w:r>
    </w:p>
    <w:p w14:paraId="5901294F" w14:textId="77777777" w:rsidR="00D84031" w:rsidRDefault="007965BB" w:rsidP="00C62CF4">
      <w:pPr>
        <w:pStyle w:val="ListParagraph"/>
        <w:numPr>
          <w:ilvl w:val="0"/>
          <w:numId w:val="98"/>
        </w:numPr>
      </w:pPr>
      <w:r>
        <w:rPr>
          <w:color w:val="000000"/>
        </w:rPr>
        <w:t xml:space="preserve">Inter-, multi- and transdisciplinarity; impact assessment  </w:t>
      </w:r>
    </w:p>
    <w:p w14:paraId="1C9AA0B4" w14:textId="77777777" w:rsidR="00D84031" w:rsidRDefault="007965BB">
      <w:r>
        <w:rPr>
          <w:color w:val="000000"/>
        </w:rPr>
        <w:t>The tasks of individual experts would include:</w:t>
      </w:r>
    </w:p>
    <w:p w14:paraId="7313ED88" w14:textId="77777777" w:rsidR="00D84031" w:rsidRDefault="007965BB">
      <w:r>
        <w:rPr>
          <w:color w:val="000000"/>
        </w:rPr>
        <w:t xml:space="preserve">Portfolio analysis of projects funded under Horizon Europe or previous European research and innovation programmes; analysis of the state-of-the-art at European and international </w:t>
      </w:r>
      <w:r>
        <w:rPr>
          <w:color w:val="000000"/>
        </w:rPr>
        <w:lastRenderedPageBreak/>
        <w:t>level; participation in international symposia organised by Commission services, including the drafting of reports; assistance for setting-up a research and innovation strategy for selected domains; policy recommendations and options assisting Commission services in elaborating evidence-based and scientifically sound policy proposals.</w:t>
      </w:r>
    </w:p>
    <w:p w14:paraId="5E8C79EF" w14:textId="77777777" w:rsidR="00D84031" w:rsidRDefault="007965BB">
      <w:r>
        <w:rPr>
          <w:color w:val="000000"/>
        </w:rPr>
        <w:t>The advice provided by each individual expert will focus on specific areas and policy relevant projects' results and how results and outcome could be used for policymaking and policy follow-up initiatives. These activities will not duplicate past or ongoing Commission work and will be essential to enable Commission services to support the policymaking process in the above-mentioned policy areas.</w:t>
      </w:r>
    </w:p>
    <w:p w14:paraId="4E2EA5A8" w14:textId="77777777" w:rsidR="00D84031" w:rsidRDefault="007965BB">
      <w:r>
        <w:rPr>
          <w:color w:val="000000"/>
        </w:rPr>
        <w:t>The individual experts' tasks will include attending bilateral meetings with Commission services, presentations at workshops and symposia, remote drafting and preparatory work. The experts will be highly qualified and specialised and will be selected on the basis of their knowledge and experience.</w:t>
      </w:r>
    </w:p>
    <w:p w14:paraId="6E960415" w14:textId="77777777" w:rsidR="00D84031" w:rsidRDefault="007965BB">
      <w:r>
        <w:rPr>
          <w:color w:val="000000"/>
        </w:rPr>
        <w:t>A special allowance of EUR 450/day will be paid to the experts appointed in their personal capacity who act independently and in the public interest.</w:t>
      </w:r>
    </w:p>
    <w:p w14:paraId="0C27829B" w14:textId="77777777" w:rsidR="00D84031" w:rsidRDefault="007965BB">
      <w:r>
        <w:rPr>
          <w:u w:val="single"/>
        </w:rPr>
        <w:t>Form of Funding</w:t>
      </w:r>
      <w:r>
        <w:t>: Other budget implementation instruments</w:t>
      </w:r>
    </w:p>
    <w:p w14:paraId="62CA3A37" w14:textId="77777777" w:rsidR="00D84031" w:rsidRDefault="007965BB">
      <w:r>
        <w:rPr>
          <w:u w:val="single"/>
        </w:rPr>
        <w:t>Type of Action</w:t>
      </w:r>
      <w:r>
        <w:t>: Expert contract action</w:t>
      </w:r>
    </w:p>
    <w:p w14:paraId="03283BE2" w14:textId="77777777" w:rsidR="00D84031" w:rsidRDefault="007965BB">
      <w:r>
        <w:rPr>
          <w:u w:val="single"/>
        </w:rPr>
        <w:t>Indicative timetable</w:t>
      </w:r>
      <w:r>
        <w:t>: 2026</w:t>
      </w:r>
    </w:p>
    <w:p w14:paraId="398DEFCB" w14:textId="77777777" w:rsidR="00D84031" w:rsidRDefault="007965BB">
      <w:r>
        <w:rPr>
          <w:u w:val="single"/>
        </w:rPr>
        <w:t>Indicative budget</w:t>
      </w:r>
      <w:r>
        <w:t>: EUR 0.20 million from the 2026 budget</w:t>
      </w:r>
    </w:p>
    <w:p w14:paraId="15351C69" w14:textId="77777777" w:rsidR="00D84031" w:rsidRDefault="007965BB">
      <w:pPr>
        <w:pStyle w:val="HeadingThree"/>
      </w:pPr>
      <w:r>
        <w:t>2. External expertise - Monitors</w:t>
      </w:r>
    </w:p>
    <w:p w14:paraId="318FB493" w14:textId="77777777" w:rsidR="00D84031" w:rsidRDefault="007965BB">
      <w:r>
        <w:rPr>
          <w:color w:val="000000"/>
        </w:rPr>
        <w:br/>
        <w:t>This action will support the use of appointed independent experts for the monitoring of running actions (grant agreement, grant decision, public procurement actions, financial instruments) funded under Horizon Europe and previous Framework Programmes for Research and Innovation and where appropriate include ethics checks, as well as compliance checks regarding the Gender Equality Plan eligibility criterion.</w:t>
      </w:r>
    </w:p>
    <w:p w14:paraId="710F295E" w14:textId="77777777" w:rsidR="00D84031" w:rsidRDefault="007965BB">
      <w:r>
        <w:rPr>
          <w:u w:val="single"/>
        </w:rPr>
        <w:t>Form of Funding</w:t>
      </w:r>
      <w:r>
        <w:t>: Other budget implementation instruments</w:t>
      </w:r>
    </w:p>
    <w:p w14:paraId="6DB2DD4D" w14:textId="77777777" w:rsidR="00D84031" w:rsidRDefault="007965BB">
      <w:r>
        <w:rPr>
          <w:u w:val="single"/>
        </w:rPr>
        <w:t>Type of Action</w:t>
      </w:r>
      <w:r>
        <w:t>: Expert contract action</w:t>
      </w:r>
    </w:p>
    <w:p w14:paraId="01E0D161" w14:textId="77777777" w:rsidR="00D84031" w:rsidRDefault="007965BB">
      <w:r>
        <w:rPr>
          <w:u w:val="single"/>
        </w:rPr>
        <w:t>Indicative timetable</w:t>
      </w:r>
      <w:r>
        <w:t>: 2026</w:t>
      </w:r>
    </w:p>
    <w:p w14:paraId="28CD3A33" w14:textId="77777777" w:rsidR="00D84031" w:rsidRDefault="007965BB">
      <w:r>
        <w:rPr>
          <w:u w:val="single"/>
        </w:rPr>
        <w:t>Indicative budget</w:t>
      </w:r>
      <w:r>
        <w:t>: EUR 0.60 million from the 2026 budget</w:t>
      </w:r>
    </w:p>
    <w:p w14:paraId="643E86B3" w14:textId="77777777" w:rsidR="00D84031" w:rsidRDefault="007965BB">
      <w:pPr>
        <w:pStyle w:val="HeadingThree"/>
      </w:pPr>
      <w:r>
        <w:t>3. Expertise for the design, implementation and evaluation of Cluster 2, Culture, Creativity and Inclusive Society</w:t>
      </w:r>
    </w:p>
    <w:p w14:paraId="4DC27F81" w14:textId="77777777" w:rsidR="00D84031" w:rsidRDefault="007965BB">
      <w:r>
        <w:rPr>
          <w:color w:val="000000"/>
        </w:rPr>
        <w:t xml:space="preserve">This action will support the use of independent expertise for advising and assisting the Commission services with the design, implementation and evaluation of EU research and </w:t>
      </w:r>
      <w:r>
        <w:rPr>
          <w:color w:val="000000"/>
        </w:rPr>
        <w:lastRenderedPageBreak/>
        <w:t>innovation policies in the thematic areas covered by Cluster 2. Individual experts will work in the following policy and thematic areas:</w:t>
      </w:r>
    </w:p>
    <w:p w14:paraId="39A26915" w14:textId="77777777" w:rsidR="00D84031" w:rsidRDefault="007965BB" w:rsidP="00C62CF4">
      <w:pPr>
        <w:pStyle w:val="ListParagraph"/>
        <w:numPr>
          <w:ilvl w:val="0"/>
          <w:numId w:val="99"/>
        </w:numPr>
      </w:pPr>
      <w:r>
        <w:rPr>
          <w:color w:val="000000"/>
        </w:rPr>
        <w:t>Democracy and governance</w:t>
      </w:r>
    </w:p>
    <w:p w14:paraId="26A60FB7" w14:textId="77777777" w:rsidR="00D84031" w:rsidRDefault="007965BB" w:rsidP="00C62CF4">
      <w:pPr>
        <w:pStyle w:val="ListParagraph"/>
        <w:numPr>
          <w:ilvl w:val="0"/>
          <w:numId w:val="99"/>
        </w:numPr>
      </w:pPr>
      <w:r>
        <w:rPr>
          <w:color w:val="000000"/>
        </w:rPr>
        <w:t>Cultural heritage, cultural and creative sectors and industries</w:t>
      </w:r>
    </w:p>
    <w:p w14:paraId="4BB5A517" w14:textId="77777777" w:rsidR="00D84031" w:rsidRDefault="007965BB" w:rsidP="00C62CF4">
      <w:pPr>
        <w:pStyle w:val="ListParagraph"/>
        <w:numPr>
          <w:ilvl w:val="0"/>
          <w:numId w:val="99"/>
        </w:numPr>
      </w:pPr>
      <w:r>
        <w:rPr>
          <w:color w:val="000000"/>
        </w:rPr>
        <w:t xml:space="preserve">Social and economic </w:t>
      </w:r>
      <w:r>
        <w:rPr>
          <w:color w:val="000000"/>
        </w:rPr>
        <w:t>transformations</w:t>
      </w:r>
    </w:p>
    <w:p w14:paraId="128B3362" w14:textId="77777777" w:rsidR="00D84031" w:rsidRDefault="007965BB" w:rsidP="00C62CF4">
      <w:pPr>
        <w:pStyle w:val="ListParagraph"/>
        <w:numPr>
          <w:ilvl w:val="0"/>
          <w:numId w:val="99"/>
        </w:numPr>
      </w:pPr>
      <w:r>
        <w:rPr>
          <w:color w:val="000000"/>
        </w:rPr>
        <w:t>Migration, refugee and asylum policies</w:t>
      </w:r>
    </w:p>
    <w:p w14:paraId="013EE9C8" w14:textId="77777777" w:rsidR="00D84031" w:rsidRDefault="007965BB" w:rsidP="00C62CF4">
      <w:pPr>
        <w:pStyle w:val="ListParagraph"/>
        <w:numPr>
          <w:ilvl w:val="0"/>
          <w:numId w:val="99"/>
        </w:numPr>
      </w:pPr>
      <w:r>
        <w:rPr>
          <w:color w:val="000000"/>
        </w:rPr>
        <w:t>Social sciences and humanities, including their integration in Horizon Europe programme parts</w:t>
      </w:r>
    </w:p>
    <w:p w14:paraId="659B5374" w14:textId="77777777" w:rsidR="00D84031" w:rsidRDefault="007965BB" w:rsidP="00C62CF4">
      <w:pPr>
        <w:pStyle w:val="ListParagraph"/>
        <w:numPr>
          <w:ilvl w:val="0"/>
          <w:numId w:val="99"/>
        </w:numPr>
      </w:pPr>
      <w:r>
        <w:rPr>
          <w:color w:val="000000"/>
        </w:rPr>
        <w:t xml:space="preserve">Inter-, multi- and transdisciplinarity; impact assessment  </w:t>
      </w:r>
    </w:p>
    <w:p w14:paraId="12DD7305" w14:textId="77777777" w:rsidR="00D84031" w:rsidRDefault="007965BB">
      <w:r>
        <w:rPr>
          <w:color w:val="000000"/>
        </w:rPr>
        <w:t>The tasks of individual experts would include:</w:t>
      </w:r>
    </w:p>
    <w:p w14:paraId="549238A5" w14:textId="77777777" w:rsidR="00D84031" w:rsidRDefault="007965BB">
      <w:r>
        <w:rPr>
          <w:color w:val="000000"/>
        </w:rPr>
        <w:t>Portfolio analysis of projects funded under Horizon Europe or previous European research and innovation programmes; analysis of the state-of-the-art at European and international level; participation in international symposia organised by Commission services, including the drafting of reports; assistance for setting-up a research and innovation strategy for selected domains; policy recommendations and options assisting Commission services in elaborating evidence-based and scientifically sound policy proposa</w:t>
      </w:r>
      <w:r>
        <w:rPr>
          <w:color w:val="000000"/>
        </w:rPr>
        <w:t>ls.</w:t>
      </w:r>
    </w:p>
    <w:p w14:paraId="0893E3C4" w14:textId="77777777" w:rsidR="00D84031" w:rsidRDefault="007965BB">
      <w:r>
        <w:rPr>
          <w:color w:val="000000"/>
        </w:rPr>
        <w:t>The advice provided by each individual expert will focus on specific areas and policy relevant projects' results and how results and outcome could be used for policymaking and policy follow-up initiatives. These activities will not duplicate past or ongoing Commission work and will be essential to enable Commission services to support the policymaking process in the above-mentioned policy areas.</w:t>
      </w:r>
    </w:p>
    <w:p w14:paraId="2C95972B" w14:textId="77777777" w:rsidR="00D84031" w:rsidRDefault="007965BB">
      <w:r>
        <w:rPr>
          <w:color w:val="000000"/>
        </w:rPr>
        <w:t>The individual experts' tasks will include attending bilateral meetings with Commission services, presentations at workshops and symposia, remote drafting and preparatory work. The experts will be highly qualified and specialised, and will be selected on the basis of their knowledge and experience.</w:t>
      </w:r>
    </w:p>
    <w:p w14:paraId="01D5129C" w14:textId="77777777" w:rsidR="00D84031" w:rsidRDefault="007965BB">
      <w:r>
        <w:rPr>
          <w:color w:val="000000"/>
        </w:rPr>
        <w:t>A special allowance of EUR 450/day will be paid to the experts appointed in their personal capacity who act independently and in the public interest.</w:t>
      </w:r>
    </w:p>
    <w:p w14:paraId="663790CF" w14:textId="77777777" w:rsidR="00D84031" w:rsidRDefault="007965BB">
      <w:r>
        <w:rPr>
          <w:u w:val="single"/>
        </w:rPr>
        <w:t>Form of Funding</w:t>
      </w:r>
      <w:r>
        <w:t>: Other budget implementation instruments</w:t>
      </w:r>
    </w:p>
    <w:p w14:paraId="7CBB407F" w14:textId="77777777" w:rsidR="00D84031" w:rsidRDefault="007965BB">
      <w:r>
        <w:rPr>
          <w:u w:val="single"/>
        </w:rPr>
        <w:t>Type of Action</w:t>
      </w:r>
      <w:r>
        <w:t>: Expert contract action</w:t>
      </w:r>
    </w:p>
    <w:p w14:paraId="36A63D2D" w14:textId="77777777" w:rsidR="00D84031" w:rsidRDefault="007965BB">
      <w:r>
        <w:rPr>
          <w:u w:val="single"/>
        </w:rPr>
        <w:t>Indicative timetable</w:t>
      </w:r>
      <w:r>
        <w:t>: 2027</w:t>
      </w:r>
    </w:p>
    <w:p w14:paraId="2285B6B3" w14:textId="77777777" w:rsidR="00D84031" w:rsidRDefault="007965BB">
      <w:r>
        <w:rPr>
          <w:u w:val="single"/>
        </w:rPr>
        <w:t>Indicative budget</w:t>
      </w:r>
      <w:r>
        <w:t>: EUR 0.20 million from the 2027 budget</w:t>
      </w:r>
    </w:p>
    <w:p w14:paraId="7EBEB236" w14:textId="77777777" w:rsidR="00D84031" w:rsidRDefault="007965BB">
      <w:pPr>
        <w:pStyle w:val="HeadingThree"/>
      </w:pPr>
      <w:r>
        <w:lastRenderedPageBreak/>
        <w:t>4. External expertise - Monitors</w:t>
      </w:r>
    </w:p>
    <w:p w14:paraId="74C7C2DE" w14:textId="77777777" w:rsidR="00D84031" w:rsidRDefault="007965BB">
      <w:r>
        <w:rPr>
          <w:color w:val="000000"/>
        </w:rPr>
        <w:t xml:space="preserve">This action will support the use of appointed independent experts for the monitoring of running actions (grant agreement, grant decision, public procurement actions, financial instruments) funded under </w:t>
      </w:r>
      <w:r>
        <w:rPr>
          <w:color w:val="000000"/>
        </w:rPr>
        <w:t>Horizon Europe and previous Framework Programmes for Research and Innovation and where appropriate include ethics checks, as well as compliance checks regarding the Gender Equality Plan eligibility criterion.</w:t>
      </w:r>
    </w:p>
    <w:p w14:paraId="2E8BA53A" w14:textId="77777777" w:rsidR="00D84031" w:rsidRDefault="007965BB">
      <w:r>
        <w:rPr>
          <w:u w:val="single"/>
        </w:rPr>
        <w:t>Form of Funding</w:t>
      </w:r>
      <w:r>
        <w:t>: Other budget implementation instruments</w:t>
      </w:r>
    </w:p>
    <w:p w14:paraId="3E4E6F2C" w14:textId="77777777" w:rsidR="00D84031" w:rsidRDefault="007965BB">
      <w:r>
        <w:rPr>
          <w:u w:val="single"/>
        </w:rPr>
        <w:t>Type of Action</w:t>
      </w:r>
      <w:r>
        <w:t>: Expert contract action</w:t>
      </w:r>
    </w:p>
    <w:p w14:paraId="620BC14D" w14:textId="77777777" w:rsidR="00D84031" w:rsidRDefault="007965BB">
      <w:r>
        <w:rPr>
          <w:u w:val="single"/>
        </w:rPr>
        <w:t>Indicative budget</w:t>
      </w:r>
      <w:r>
        <w:t>: EUR 0.60 million from the 2027 budget</w:t>
      </w:r>
    </w:p>
    <w:p w14:paraId="78038A66" w14:textId="77777777" w:rsidR="00D84031" w:rsidRDefault="007965BB">
      <w:pPr>
        <w:pStyle w:val="HeadingOne"/>
        <w:pageBreakBefore/>
      </w:pPr>
      <w:r>
        <w:lastRenderedPageBreak/>
        <w:t>Budget</w:t>
      </w:r>
      <w:r>
        <w:rPr>
          <w:vertAlign w:val="superscript"/>
        </w:rPr>
        <w:footnoteReference w:id="194"/>
      </w:r>
      <w:r>
        <w:t xml:space="preserve"> </w:t>
      </w:r>
      <w:r>
        <w:rPr>
          <w:vertAlign w:val="superscript"/>
        </w:rPr>
        <w:footnoteReference w:id="195"/>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27"/>
        <w:gridCol w:w="1583"/>
        <w:gridCol w:w="1446"/>
        <w:gridCol w:w="1446"/>
      </w:tblGrid>
      <w:tr w:rsidR="00D84031" w14:paraId="2252C9D1" w14:textId="77777777">
        <w:tc>
          <w:tcPr>
            <w:tcW w:w="3000" w:type="dxa"/>
          </w:tcPr>
          <w:p w14:paraId="3AE16CAE" w14:textId="77777777" w:rsidR="00D84031" w:rsidRDefault="00D84031">
            <w:pPr>
              <w:pStyle w:val="CellHeaderTextValue"/>
            </w:pPr>
          </w:p>
        </w:tc>
        <w:tc>
          <w:tcPr>
            <w:tcW w:w="2000" w:type="dxa"/>
          </w:tcPr>
          <w:p w14:paraId="75133257" w14:textId="77777777" w:rsidR="00D84031" w:rsidRDefault="007965BB">
            <w:pPr>
              <w:pStyle w:val="CellHeaderTextValue"/>
            </w:pPr>
            <w:r>
              <w:t>Budget line(s)</w:t>
            </w:r>
          </w:p>
        </w:tc>
        <w:tc>
          <w:tcPr>
            <w:tcW w:w="2000" w:type="dxa"/>
          </w:tcPr>
          <w:p w14:paraId="7C7F195B" w14:textId="77777777" w:rsidR="00D84031" w:rsidRDefault="007965BB">
            <w:pPr>
              <w:pStyle w:val="CellHeaderTextValue"/>
            </w:pPr>
            <w:r>
              <w:t>2026 Budget (EUR million)</w:t>
            </w:r>
          </w:p>
        </w:tc>
        <w:tc>
          <w:tcPr>
            <w:tcW w:w="2000" w:type="dxa"/>
          </w:tcPr>
          <w:p w14:paraId="32FCABAD" w14:textId="77777777" w:rsidR="00D84031" w:rsidRDefault="007965BB">
            <w:pPr>
              <w:pStyle w:val="CellHeaderTextValue"/>
            </w:pPr>
            <w:r>
              <w:t>2027 Budget (EUR million)</w:t>
            </w:r>
          </w:p>
        </w:tc>
      </w:tr>
      <w:tr w:rsidR="00C62CF4" w14:paraId="1DCE9FC0" w14:textId="77777777" w:rsidTr="00C62CF4">
        <w:tc>
          <w:tcPr>
            <w:tcW w:w="0" w:type="auto"/>
            <w:gridSpan w:val="4"/>
          </w:tcPr>
          <w:p w14:paraId="5D1512B8" w14:textId="77777777" w:rsidR="00D84031" w:rsidRDefault="007965BB">
            <w:pPr>
              <w:pStyle w:val="CellHeaderTextValue"/>
              <w:jc w:val="left"/>
            </w:pPr>
            <w:r>
              <w:rPr>
                <w:b/>
              </w:rPr>
              <w:t>Calls</w:t>
            </w:r>
          </w:p>
        </w:tc>
      </w:tr>
      <w:tr w:rsidR="00D84031" w14:paraId="67CDE87A" w14:textId="77777777">
        <w:tc>
          <w:tcPr>
            <w:tcW w:w="0" w:type="auto"/>
            <w:vMerge w:val="restart"/>
          </w:tcPr>
          <w:p w14:paraId="1AD33D21" w14:textId="77777777" w:rsidR="00D84031" w:rsidRDefault="007965BB">
            <w:pPr>
              <w:pStyle w:val="CellTextValue"/>
            </w:pPr>
            <w:r>
              <w:t>HORIZON-CL2-2026-01</w:t>
            </w:r>
          </w:p>
        </w:tc>
        <w:tc>
          <w:tcPr>
            <w:tcW w:w="0" w:type="auto"/>
          </w:tcPr>
          <w:p w14:paraId="34DCCD31" w14:textId="77777777" w:rsidR="00D84031" w:rsidRDefault="00D84031">
            <w:pPr>
              <w:pStyle w:val="CellTextValue"/>
            </w:pPr>
          </w:p>
        </w:tc>
        <w:tc>
          <w:tcPr>
            <w:tcW w:w="0" w:type="auto"/>
          </w:tcPr>
          <w:p w14:paraId="15B89F1B" w14:textId="77777777" w:rsidR="00D84031" w:rsidRDefault="007965BB">
            <w:pPr>
              <w:pStyle w:val="CellTextValueNumeric"/>
            </w:pPr>
            <w:r>
              <w:t>298.50</w:t>
            </w:r>
          </w:p>
        </w:tc>
        <w:tc>
          <w:tcPr>
            <w:tcW w:w="0" w:type="auto"/>
          </w:tcPr>
          <w:p w14:paraId="66BC7B2A" w14:textId="77777777" w:rsidR="00D84031" w:rsidRDefault="00D84031">
            <w:pPr>
              <w:pStyle w:val="CellTextValueNumeric"/>
            </w:pPr>
          </w:p>
        </w:tc>
      </w:tr>
      <w:tr w:rsidR="00D84031" w14:paraId="0D50C2B4" w14:textId="77777777">
        <w:tc>
          <w:tcPr>
            <w:tcW w:w="0" w:type="auto"/>
            <w:vMerge/>
          </w:tcPr>
          <w:p w14:paraId="615C7193" w14:textId="77777777" w:rsidR="00D84031" w:rsidRDefault="00D84031">
            <w:pPr>
              <w:pStyle w:val="CellTextValue"/>
            </w:pPr>
          </w:p>
        </w:tc>
        <w:tc>
          <w:tcPr>
            <w:tcW w:w="0" w:type="auto"/>
          </w:tcPr>
          <w:p w14:paraId="327E0BC4" w14:textId="77777777" w:rsidR="00D84031" w:rsidRDefault="007965BB">
            <w:pPr>
              <w:pStyle w:val="CellTextValueGray"/>
            </w:pPr>
            <w:r>
              <w:t>from 01.020220</w:t>
            </w:r>
          </w:p>
        </w:tc>
        <w:tc>
          <w:tcPr>
            <w:tcW w:w="0" w:type="auto"/>
          </w:tcPr>
          <w:p w14:paraId="28961F3E" w14:textId="77777777" w:rsidR="00D84031" w:rsidRDefault="007965BB">
            <w:pPr>
              <w:pStyle w:val="CellTextValueNumericGray"/>
            </w:pPr>
            <w:r>
              <w:t>298.50</w:t>
            </w:r>
          </w:p>
        </w:tc>
        <w:tc>
          <w:tcPr>
            <w:tcW w:w="0" w:type="auto"/>
          </w:tcPr>
          <w:p w14:paraId="22395A7A" w14:textId="77777777" w:rsidR="00D84031" w:rsidRDefault="00D84031">
            <w:pPr>
              <w:pStyle w:val="CellTextValueNumericGray"/>
            </w:pPr>
          </w:p>
        </w:tc>
      </w:tr>
      <w:tr w:rsidR="00D84031" w14:paraId="44C995C3" w14:textId="77777777">
        <w:tc>
          <w:tcPr>
            <w:tcW w:w="0" w:type="auto"/>
            <w:vMerge w:val="restart"/>
          </w:tcPr>
          <w:p w14:paraId="6E4A38B2" w14:textId="77777777" w:rsidR="00D84031" w:rsidRDefault="007965BB">
            <w:pPr>
              <w:pStyle w:val="CellTextValue"/>
            </w:pPr>
            <w:r>
              <w:t>HORIZON-CL2-2026-02</w:t>
            </w:r>
          </w:p>
        </w:tc>
        <w:tc>
          <w:tcPr>
            <w:tcW w:w="0" w:type="auto"/>
          </w:tcPr>
          <w:p w14:paraId="306E058B" w14:textId="77777777" w:rsidR="00D84031" w:rsidRDefault="00D84031">
            <w:pPr>
              <w:pStyle w:val="CellTextValue"/>
            </w:pPr>
          </w:p>
        </w:tc>
        <w:tc>
          <w:tcPr>
            <w:tcW w:w="0" w:type="auto"/>
          </w:tcPr>
          <w:p w14:paraId="07D76929" w14:textId="77777777" w:rsidR="00D84031" w:rsidRDefault="007965BB">
            <w:pPr>
              <w:pStyle w:val="CellTextValueNumeric"/>
            </w:pPr>
            <w:r>
              <w:t>60.00</w:t>
            </w:r>
          </w:p>
        </w:tc>
        <w:tc>
          <w:tcPr>
            <w:tcW w:w="0" w:type="auto"/>
          </w:tcPr>
          <w:p w14:paraId="6DE9FE31" w14:textId="77777777" w:rsidR="00D84031" w:rsidRDefault="00D84031">
            <w:pPr>
              <w:pStyle w:val="CellTextValueNumeric"/>
            </w:pPr>
          </w:p>
        </w:tc>
      </w:tr>
      <w:tr w:rsidR="00D84031" w14:paraId="2C6A0FBE" w14:textId="77777777">
        <w:tc>
          <w:tcPr>
            <w:tcW w:w="0" w:type="auto"/>
            <w:vMerge/>
          </w:tcPr>
          <w:p w14:paraId="04832C57" w14:textId="77777777" w:rsidR="00D84031" w:rsidRDefault="00D84031">
            <w:pPr>
              <w:pStyle w:val="CellTextValue"/>
            </w:pPr>
          </w:p>
        </w:tc>
        <w:tc>
          <w:tcPr>
            <w:tcW w:w="0" w:type="auto"/>
          </w:tcPr>
          <w:p w14:paraId="3748B88F" w14:textId="77777777" w:rsidR="00D84031" w:rsidRDefault="007965BB">
            <w:pPr>
              <w:pStyle w:val="CellTextValueGray"/>
            </w:pPr>
            <w:r>
              <w:t>from 01.020220</w:t>
            </w:r>
          </w:p>
        </w:tc>
        <w:tc>
          <w:tcPr>
            <w:tcW w:w="0" w:type="auto"/>
          </w:tcPr>
          <w:p w14:paraId="7BDD0D34" w14:textId="77777777" w:rsidR="00D84031" w:rsidRDefault="007965BB">
            <w:pPr>
              <w:pStyle w:val="CellTextValueNumericGray"/>
            </w:pPr>
            <w:r>
              <w:t>60.00</w:t>
            </w:r>
          </w:p>
        </w:tc>
        <w:tc>
          <w:tcPr>
            <w:tcW w:w="0" w:type="auto"/>
          </w:tcPr>
          <w:p w14:paraId="6A507A20" w14:textId="77777777" w:rsidR="00D84031" w:rsidRDefault="00D84031">
            <w:pPr>
              <w:pStyle w:val="CellTextValueNumericGray"/>
            </w:pPr>
          </w:p>
        </w:tc>
      </w:tr>
      <w:tr w:rsidR="00D84031" w14:paraId="46C9699F" w14:textId="77777777">
        <w:tc>
          <w:tcPr>
            <w:tcW w:w="0" w:type="auto"/>
            <w:vMerge w:val="restart"/>
          </w:tcPr>
          <w:p w14:paraId="7BEAB7FF" w14:textId="77777777" w:rsidR="00D84031" w:rsidRDefault="007965BB">
            <w:pPr>
              <w:pStyle w:val="CellTextValue"/>
            </w:pPr>
            <w:r>
              <w:t>HORIZON-CL2-2027-01</w:t>
            </w:r>
          </w:p>
        </w:tc>
        <w:tc>
          <w:tcPr>
            <w:tcW w:w="0" w:type="auto"/>
          </w:tcPr>
          <w:p w14:paraId="76A1B8E1" w14:textId="77777777" w:rsidR="00D84031" w:rsidRDefault="00D84031">
            <w:pPr>
              <w:pStyle w:val="CellTextValue"/>
            </w:pPr>
          </w:p>
        </w:tc>
        <w:tc>
          <w:tcPr>
            <w:tcW w:w="0" w:type="auto"/>
          </w:tcPr>
          <w:p w14:paraId="353E8AB2" w14:textId="77777777" w:rsidR="00D84031" w:rsidRDefault="00D84031">
            <w:pPr>
              <w:pStyle w:val="CellTextValueNumeric"/>
            </w:pPr>
          </w:p>
        </w:tc>
        <w:tc>
          <w:tcPr>
            <w:tcW w:w="0" w:type="auto"/>
          </w:tcPr>
          <w:p w14:paraId="3B5BAB5A" w14:textId="77777777" w:rsidR="00D84031" w:rsidRDefault="007965BB">
            <w:pPr>
              <w:pStyle w:val="CellTextValueNumeric"/>
            </w:pPr>
            <w:r>
              <w:t>277.00</w:t>
            </w:r>
          </w:p>
        </w:tc>
      </w:tr>
      <w:tr w:rsidR="00D84031" w14:paraId="0CC8D2B7" w14:textId="77777777">
        <w:tc>
          <w:tcPr>
            <w:tcW w:w="0" w:type="auto"/>
            <w:vMerge/>
          </w:tcPr>
          <w:p w14:paraId="37E5CF01" w14:textId="77777777" w:rsidR="00D84031" w:rsidRDefault="00D84031">
            <w:pPr>
              <w:pStyle w:val="CellTextValue"/>
            </w:pPr>
          </w:p>
        </w:tc>
        <w:tc>
          <w:tcPr>
            <w:tcW w:w="0" w:type="auto"/>
          </w:tcPr>
          <w:p w14:paraId="064335D4" w14:textId="77777777" w:rsidR="00D84031" w:rsidRDefault="007965BB">
            <w:pPr>
              <w:pStyle w:val="CellTextValueGray"/>
            </w:pPr>
            <w:r>
              <w:t>from 01.020220</w:t>
            </w:r>
          </w:p>
        </w:tc>
        <w:tc>
          <w:tcPr>
            <w:tcW w:w="0" w:type="auto"/>
          </w:tcPr>
          <w:p w14:paraId="5B74BF09" w14:textId="77777777" w:rsidR="00D84031" w:rsidRDefault="00D84031">
            <w:pPr>
              <w:pStyle w:val="CellTextValueNumericGray"/>
            </w:pPr>
          </w:p>
        </w:tc>
        <w:tc>
          <w:tcPr>
            <w:tcW w:w="0" w:type="auto"/>
          </w:tcPr>
          <w:p w14:paraId="28D19EE0" w14:textId="77777777" w:rsidR="00D84031" w:rsidRDefault="007965BB">
            <w:pPr>
              <w:pStyle w:val="CellTextValueNumericGray"/>
            </w:pPr>
            <w:r>
              <w:t>277.00</w:t>
            </w:r>
          </w:p>
        </w:tc>
      </w:tr>
      <w:tr w:rsidR="00D84031" w14:paraId="7F49430C" w14:textId="77777777">
        <w:tc>
          <w:tcPr>
            <w:tcW w:w="0" w:type="auto"/>
            <w:vMerge w:val="restart"/>
          </w:tcPr>
          <w:p w14:paraId="0F487A12" w14:textId="77777777" w:rsidR="00D84031" w:rsidRDefault="007965BB">
            <w:pPr>
              <w:pStyle w:val="CellTextValue"/>
            </w:pPr>
            <w:r>
              <w:t>HORIZON-CL2-2027-02-TWO-STAGE</w:t>
            </w:r>
          </w:p>
        </w:tc>
        <w:tc>
          <w:tcPr>
            <w:tcW w:w="0" w:type="auto"/>
          </w:tcPr>
          <w:p w14:paraId="6A7FB1DE" w14:textId="77777777" w:rsidR="00D84031" w:rsidRDefault="00D84031">
            <w:pPr>
              <w:pStyle w:val="CellTextValue"/>
            </w:pPr>
          </w:p>
        </w:tc>
        <w:tc>
          <w:tcPr>
            <w:tcW w:w="0" w:type="auto"/>
          </w:tcPr>
          <w:p w14:paraId="3FD78DBB" w14:textId="77777777" w:rsidR="00D84031" w:rsidRDefault="00D84031">
            <w:pPr>
              <w:pStyle w:val="CellTextValueNumeric"/>
            </w:pPr>
          </w:p>
        </w:tc>
        <w:tc>
          <w:tcPr>
            <w:tcW w:w="0" w:type="auto"/>
          </w:tcPr>
          <w:p w14:paraId="4B6510FB" w14:textId="77777777" w:rsidR="00D84031" w:rsidRDefault="007965BB">
            <w:pPr>
              <w:pStyle w:val="CellTextValueNumeric"/>
            </w:pPr>
            <w:r>
              <w:t>58.00</w:t>
            </w:r>
          </w:p>
        </w:tc>
      </w:tr>
      <w:tr w:rsidR="00D84031" w14:paraId="568F93B8" w14:textId="77777777">
        <w:tc>
          <w:tcPr>
            <w:tcW w:w="0" w:type="auto"/>
            <w:vMerge/>
          </w:tcPr>
          <w:p w14:paraId="389E29B5" w14:textId="77777777" w:rsidR="00D84031" w:rsidRDefault="00D84031">
            <w:pPr>
              <w:pStyle w:val="CellTextValue"/>
            </w:pPr>
          </w:p>
        </w:tc>
        <w:tc>
          <w:tcPr>
            <w:tcW w:w="0" w:type="auto"/>
          </w:tcPr>
          <w:p w14:paraId="26B2D275" w14:textId="77777777" w:rsidR="00D84031" w:rsidRDefault="007965BB">
            <w:pPr>
              <w:pStyle w:val="CellTextValueGray"/>
            </w:pPr>
            <w:r>
              <w:t>from 01.020220</w:t>
            </w:r>
          </w:p>
        </w:tc>
        <w:tc>
          <w:tcPr>
            <w:tcW w:w="0" w:type="auto"/>
          </w:tcPr>
          <w:p w14:paraId="354093D8" w14:textId="77777777" w:rsidR="00D84031" w:rsidRDefault="00D84031">
            <w:pPr>
              <w:pStyle w:val="CellTextValueNumericGray"/>
            </w:pPr>
          </w:p>
        </w:tc>
        <w:tc>
          <w:tcPr>
            <w:tcW w:w="0" w:type="auto"/>
          </w:tcPr>
          <w:p w14:paraId="097487EF" w14:textId="77777777" w:rsidR="00D84031" w:rsidRDefault="007965BB">
            <w:pPr>
              <w:pStyle w:val="CellTextValueNumericGray"/>
            </w:pPr>
            <w:r>
              <w:t>58.00</w:t>
            </w:r>
          </w:p>
        </w:tc>
      </w:tr>
      <w:tr w:rsidR="00C62CF4" w14:paraId="106796C6" w14:textId="77777777" w:rsidTr="00C62CF4">
        <w:tc>
          <w:tcPr>
            <w:tcW w:w="0" w:type="auto"/>
            <w:gridSpan w:val="4"/>
          </w:tcPr>
          <w:p w14:paraId="5D22E703" w14:textId="77777777" w:rsidR="00D84031" w:rsidRDefault="007965BB">
            <w:pPr>
              <w:pStyle w:val="CellHeaderTextValue"/>
              <w:jc w:val="left"/>
            </w:pPr>
            <w:r>
              <w:rPr>
                <w:b/>
              </w:rPr>
              <w:t>Other actions</w:t>
            </w:r>
          </w:p>
        </w:tc>
      </w:tr>
      <w:tr w:rsidR="00D84031" w14:paraId="3A5F15AC" w14:textId="77777777">
        <w:tc>
          <w:tcPr>
            <w:tcW w:w="0" w:type="auto"/>
            <w:vMerge w:val="restart"/>
          </w:tcPr>
          <w:p w14:paraId="710FDFE0" w14:textId="77777777" w:rsidR="00D84031" w:rsidRDefault="007965BB">
            <w:pPr>
              <w:pStyle w:val="CellTextValue"/>
            </w:pPr>
            <w:r>
              <w:t xml:space="preserve">Grant awarded without a call for proposals according to </w:t>
            </w:r>
            <w:r>
              <w:t>Financial Regulation Article 198(e)</w:t>
            </w:r>
          </w:p>
        </w:tc>
        <w:tc>
          <w:tcPr>
            <w:tcW w:w="0" w:type="auto"/>
          </w:tcPr>
          <w:p w14:paraId="090C8C30" w14:textId="77777777" w:rsidR="00D84031" w:rsidRDefault="00D84031">
            <w:pPr>
              <w:pStyle w:val="CellTextValue"/>
            </w:pPr>
          </w:p>
        </w:tc>
        <w:tc>
          <w:tcPr>
            <w:tcW w:w="0" w:type="auto"/>
          </w:tcPr>
          <w:p w14:paraId="416AD1FF" w14:textId="77777777" w:rsidR="00D84031" w:rsidRDefault="00D84031">
            <w:pPr>
              <w:pStyle w:val="CellTextValueNumeric"/>
            </w:pPr>
          </w:p>
        </w:tc>
        <w:tc>
          <w:tcPr>
            <w:tcW w:w="0" w:type="auto"/>
          </w:tcPr>
          <w:p w14:paraId="3A070532" w14:textId="77777777" w:rsidR="00D84031" w:rsidRDefault="007965BB">
            <w:pPr>
              <w:pStyle w:val="CellTextValueNumeric"/>
            </w:pPr>
            <w:r>
              <w:t>0.60</w:t>
            </w:r>
          </w:p>
        </w:tc>
      </w:tr>
      <w:tr w:rsidR="00D84031" w14:paraId="6076A2F5" w14:textId="77777777">
        <w:tc>
          <w:tcPr>
            <w:tcW w:w="0" w:type="auto"/>
            <w:vMerge/>
          </w:tcPr>
          <w:p w14:paraId="6CCF3E66" w14:textId="77777777" w:rsidR="00D84031" w:rsidRDefault="00D84031">
            <w:pPr>
              <w:pStyle w:val="CellTextValue"/>
            </w:pPr>
          </w:p>
        </w:tc>
        <w:tc>
          <w:tcPr>
            <w:tcW w:w="0" w:type="auto"/>
          </w:tcPr>
          <w:p w14:paraId="6599C3DE" w14:textId="77777777" w:rsidR="00D84031" w:rsidRDefault="007965BB">
            <w:pPr>
              <w:pStyle w:val="CellTextValueGray"/>
            </w:pPr>
            <w:r>
              <w:t>from 01.020220</w:t>
            </w:r>
          </w:p>
        </w:tc>
        <w:tc>
          <w:tcPr>
            <w:tcW w:w="0" w:type="auto"/>
          </w:tcPr>
          <w:p w14:paraId="56FBFC61" w14:textId="77777777" w:rsidR="00D84031" w:rsidRDefault="00D84031">
            <w:pPr>
              <w:pStyle w:val="CellTextValueNumericGray"/>
            </w:pPr>
          </w:p>
        </w:tc>
        <w:tc>
          <w:tcPr>
            <w:tcW w:w="0" w:type="auto"/>
          </w:tcPr>
          <w:p w14:paraId="1C0E0230" w14:textId="77777777" w:rsidR="00D84031" w:rsidRDefault="007965BB">
            <w:pPr>
              <w:pStyle w:val="CellTextValueNumericGray"/>
            </w:pPr>
            <w:r>
              <w:t>0.60</w:t>
            </w:r>
          </w:p>
        </w:tc>
      </w:tr>
      <w:tr w:rsidR="00D84031" w14:paraId="7A7F0895" w14:textId="77777777">
        <w:tc>
          <w:tcPr>
            <w:tcW w:w="0" w:type="auto"/>
            <w:vMerge w:val="restart"/>
          </w:tcPr>
          <w:p w14:paraId="425681B2" w14:textId="77777777" w:rsidR="00D84031" w:rsidRDefault="007965BB">
            <w:pPr>
              <w:pStyle w:val="CellTextValue"/>
            </w:pPr>
            <w:r>
              <w:t>Public procurement</w:t>
            </w:r>
          </w:p>
        </w:tc>
        <w:tc>
          <w:tcPr>
            <w:tcW w:w="0" w:type="auto"/>
          </w:tcPr>
          <w:p w14:paraId="0BBA6AB3" w14:textId="77777777" w:rsidR="00D84031" w:rsidRDefault="00D84031">
            <w:pPr>
              <w:pStyle w:val="CellTextValue"/>
            </w:pPr>
          </w:p>
        </w:tc>
        <w:tc>
          <w:tcPr>
            <w:tcW w:w="0" w:type="auto"/>
          </w:tcPr>
          <w:p w14:paraId="099C1120" w14:textId="77777777" w:rsidR="00D84031" w:rsidRDefault="007965BB">
            <w:pPr>
              <w:pStyle w:val="CellTextValueNumeric"/>
            </w:pPr>
            <w:r>
              <w:t>1.00</w:t>
            </w:r>
          </w:p>
        </w:tc>
        <w:tc>
          <w:tcPr>
            <w:tcW w:w="0" w:type="auto"/>
          </w:tcPr>
          <w:p w14:paraId="43499FAA" w14:textId="77777777" w:rsidR="00D84031" w:rsidRDefault="007965BB">
            <w:pPr>
              <w:pStyle w:val="CellTextValueNumeric"/>
            </w:pPr>
            <w:r>
              <w:t>1.00</w:t>
            </w:r>
          </w:p>
        </w:tc>
      </w:tr>
      <w:tr w:rsidR="00D84031" w14:paraId="5D7A173D" w14:textId="77777777">
        <w:tc>
          <w:tcPr>
            <w:tcW w:w="0" w:type="auto"/>
            <w:vMerge/>
          </w:tcPr>
          <w:p w14:paraId="7679356F" w14:textId="77777777" w:rsidR="00D84031" w:rsidRDefault="00D84031">
            <w:pPr>
              <w:pStyle w:val="CellTextValue"/>
            </w:pPr>
          </w:p>
        </w:tc>
        <w:tc>
          <w:tcPr>
            <w:tcW w:w="0" w:type="auto"/>
          </w:tcPr>
          <w:p w14:paraId="2303E687" w14:textId="77777777" w:rsidR="00D84031" w:rsidRDefault="007965BB">
            <w:pPr>
              <w:pStyle w:val="CellTextValueGray"/>
            </w:pPr>
            <w:r>
              <w:t>from 01.020220</w:t>
            </w:r>
          </w:p>
        </w:tc>
        <w:tc>
          <w:tcPr>
            <w:tcW w:w="0" w:type="auto"/>
          </w:tcPr>
          <w:p w14:paraId="67AF7E9D" w14:textId="77777777" w:rsidR="00D84031" w:rsidRDefault="007965BB">
            <w:pPr>
              <w:pStyle w:val="CellTextValueNumericGray"/>
            </w:pPr>
            <w:r>
              <w:t>1.00</w:t>
            </w:r>
          </w:p>
        </w:tc>
        <w:tc>
          <w:tcPr>
            <w:tcW w:w="0" w:type="auto"/>
          </w:tcPr>
          <w:p w14:paraId="5299485E" w14:textId="77777777" w:rsidR="00D84031" w:rsidRDefault="007965BB">
            <w:pPr>
              <w:pStyle w:val="CellTextValueNumericGray"/>
            </w:pPr>
            <w:r>
              <w:t>1.00</w:t>
            </w:r>
          </w:p>
        </w:tc>
      </w:tr>
      <w:tr w:rsidR="00D84031" w14:paraId="47F9592A" w14:textId="77777777">
        <w:tc>
          <w:tcPr>
            <w:tcW w:w="0" w:type="auto"/>
            <w:vMerge w:val="restart"/>
          </w:tcPr>
          <w:p w14:paraId="2FDA57E0" w14:textId="77777777" w:rsidR="00D84031" w:rsidRDefault="007965BB">
            <w:pPr>
              <w:pStyle w:val="CellTextValue"/>
            </w:pPr>
            <w:r>
              <w:lastRenderedPageBreak/>
              <w:t>Expert contract action</w:t>
            </w:r>
          </w:p>
        </w:tc>
        <w:tc>
          <w:tcPr>
            <w:tcW w:w="0" w:type="auto"/>
          </w:tcPr>
          <w:p w14:paraId="666A089C" w14:textId="77777777" w:rsidR="00D84031" w:rsidRDefault="00D84031">
            <w:pPr>
              <w:pStyle w:val="CellTextValue"/>
            </w:pPr>
          </w:p>
        </w:tc>
        <w:tc>
          <w:tcPr>
            <w:tcW w:w="0" w:type="auto"/>
          </w:tcPr>
          <w:p w14:paraId="0CD93984" w14:textId="77777777" w:rsidR="00D84031" w:rsidRDefault="007965BB">
            <w:pPr>
              <w:pStyle w:val="CellTextValueNumeric"/>
            </w:pPr>
            <w:r>
              <w:t>0.80</w:t>
            </w:r>
          </w:p>
        </w:tc>
        <w:tc>
          <w:tcPr>
            <w:tcW w:w="0" w:type="auto"/>
          </w:tcPr>
          <w:p w14:paraId="04804590" w14:textId="77777777" w:rsidR="00D84031" w:rsidRDefault="007965BB">
            <w:pPr>
              <w:pStyle w:val="CellTextValueNumeric"/>
            </w:pPr>
            <w:r>
              <w:t>0.80</w:t>
            </w:r>
          </w:p>
        </w:tc>
      </w:tr>
      <w:tr w:rsidR="00D84031" w14:paraId="29B2CE8C" w14:textId="77777777">
        <w:tc>
          <w:tcPr>
            <w:tcW w:w="0" w:type="auto"/>
            <w:vMerge/>
          </w:tcPr>
          <w:p w14:paraId="43DE6E68" w14:textId="77777777" w:rsidR="00D84031" w:rsidRDefault="00D84031">
            <w:pPr>
              <w:pStyle w:val="CellTextValue"/>
            </w:pPr>
          </w:p>
        </w:tc>
        <w:tc>
          <w:tcPr>
            <w:tcW w:w="0" w:type="auto"/>
          </w:tcPr>
          <w:p w14:paraId="473E76EE" w14:textId="77777777" w:rsidR="00D84031" w:rsidRDefault="007965BB">
            <w:pPr>
              <w:pStyle w:val="CellTextValueGray"/>
            </w:pPr>
            <w:r>
              <w:t>from 01.020220</w:t>
            </w:r>
          </w:p>
        </w:tc>
        <w:tc>
          <w:tcPr>
            <w:tcW w:w="0" w:type="auto"/>
          </w:tcPr>
          <w:p w14:paraId="4265588F" w14:textId="77777777" w:rsidR="00D84031" w:rsidRDefault="007965BB">
            <w:pPr>
              <w:pStyle w:val="CellTextValueNumericGray"/>
            </w:pPr>
            <w:r>
              <w:t>0.80</w:t>
            </w:r>
          </w:p>
        </w:tc>
        <w:tc>
          <w:tcPr>
            <w:tcW w:w="0" w:type="auto"/>
          </w:tcPr>
          <w:p w14:paraId="45034675" w14:textId="77777777" w:rsidR="00D84031" w:rsidRDefault="007965BB">
            <w:pPr>
              <w:pStyle w:val="CellTextValueNumericGray"/>
            </w:pPr>
            <w:r>
              <w:t>0.80</w:t>
            </w:r>
          </w:p>
        </w:tc>
      </w:tr>
      <w:tr w:rsidR="00C62CF4" w14:paraId="732130B7" w14:textId="77777777" w:rsidTr="00C62CF4">
        <w:tc>
          <w:tcPr>
            <w:tcW w:w="0" w:type="auto"/>
            <w:gridSpan w:val="2"/>
          </w:tcPr>
          <w:p w14:paraId="4BAA94BE" w14:textId="77777777" w:rsidR="00D84031" w:rsidRDefault="007965BB">
            <w:pPr>
              <w:pStyle w:val="CellTextValue"/>
            </w:pPr>
            <w:r>
              <w:rPr>
                <w:b/>
              </w:rPr>
              <w:t>Estimated total budget</w:t>
            </w:r>
          </w:p>
        </w:tc>
        <w:tc>
          <w:tcPr>
            <w:tcW w:w="0" w:type="auto"/>
          </w:tcPr>
          <w:p w14:paraId="62D08873" w14:textId="77777777" w:rsidR="00D84031" w:rsidRDefault="007965BB">
            <w:pPr>
              <w:pStyle w:val="CellTextValueNumeric"/>
            </w:pPr>
            <w:r>
              <w:t>360.30</w:t>
            </w:r>
          </w:p>
        </w:tc>
        <w:tc>
          <w:tcPr>
            <w:tcW w:w="0" w:type="auto"/>
          </w:tcPr>
          <w:p w14:paraId="750F9DAF" w14:textId="77777777" w:rsidR="00D84031" w:rsidRDefault="007965BB">
            <w:pPr>
              <w:pStyle w:val="CellTextValueNumeric"/>
            </w:pPr>
            <w:r>
              <w:t>337.40</w:t>
            </w:r>
          </w:p>
        </w:tc>
      </w:tr>
    </w:tbl>
    <w:p w14:paraId="5B56DD48" w14:textId="77777777" w:rsidR="00D84031" w:rsidRDefault="00D84031">
      <w:pPr>
        <w:spacing w:after="0" w:line="150" w:lineRule="auto"/>
      </w:pPr>
    </w:p>
    <w:sectPr w:rsidR="00D84031">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C7073" w14:textId="77777777" w:rsidR="00F33EAE" w:rsidRDefault="00F33EAE" w:rsidP="0082499D">
      <w:pPr>
        <w:spacing w:after="0" w:line="240" w:lineRule="auto"/>
      </w:pPr>
      <w:r>
        <w:separator/>
      </w:r>
    </w:p>
  </w:endnote>
  <w:endnote w:type="continuationSeparator" w:id="0">
    <w:p w14:paraId="641D1B81" w14:textId="77777777" w:rsidR="00F33EAE" w:rsidRDefault="00F33EAE" w:rsidP="0082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F6B62" w14:textId="77777777" w:rsidR="0005773C" w:rsidRPr="005E24C6" w:rsidRDefault="00DF5E1F" w:rsidP="00D7779A">
    <w:pPr>
      <w:pStyle w:val="FooterStyle"/>
      <w:rPr>
        <w:szCs w:val="20"/>
      </w:rPr>
    </w:pPr>
    <w:r>
      <w:t xml:space="preserve">Part 5 - Page </w:t>
    </w:r>
    <w:r w:rsidRPr="005E24C6">
      <w:rPr>
        <w:szCs w:val="20"/>
      </w:rPr>
      <w:fldChar w:fldCharType="begin"/>
    </w:r>
    <w:r w:rsidRPr="005E24C6">
      <w:rPr>
        <w:szCs w:val="20"/>
      </w:rPr>
      <w:instrText xml:space="preserve"> PAGE   \* MERGEFORMAT </w:instrText>
    </w:r>
    <w:r w:rsidRPr="005E24C6">
      <w:rPr>
        <w:szCs w:val="20"/>
      </w:rPr>
      <w:fldChar w:fldCharType="separate"/>
    </w:r>
    <w:r w:rsidR="004E0E4B">
      <w:rPr>
        <w:noProof/>
        <w:szCs w:val="20"/>
      </w:rPr>
      <w:t>1</w:t>
    </w:r>
    <w:r w:rsidRPr="005E24C6">
      <w:rPr>
        <w:szCs w:val="20"/>
      </w:rPr>
      <w:fldChar w:fldCharType="end"/>
    </w:r>
    <w:r w:rsidRPr="005E24C6">
      <w:rPr>
        <w:szCs w:val="20"/>
      </w:rPr>
      <w:t xml:space="preserve"> of </w:t>
    </w:r>
    <w:r w:rsidR="00EB7762" w:rsidRPr="005E24C6">
      <w:rPr>
        <w:szCs w:val="20"/>
      </w:rPr>
      <w:fldChar w:fldCharType="begin"/>
    </w:r>
    <w:r w:rsidR="00EB7762" w:rsidRPr="005E24C6">
      <w:rPr>
        <w:szCs w:val="20"/>
      </w:rPr>
      <w:instrText xml:space="preserve"> NUMPAGES   \* MERGEFORMAT </w:instrText>
    </w:r>
    <w:r w:rsidR="00EB7762" w:rsidRPr="005E24C6">
      <w:rPr>
        <w:szCs w:val="20"/>
      </w:rPr>
      <w:fldChar w:fldCharType="separate"/>
    </w:r>
    <w:r w:rsidR="004E0E4B">
      <w:rPr>
        <w:noProof/>
        <w:szCs w:val="20"/>
      </w:rPr>
      <w:t>2</w:t>
    </w:r>
    <w:r w:rsidR="00EB7762" w:rsidRPr="005E24C6">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E2E89" w14:textId="77777777" w:rsidR="00F33EAE" w:rsidRDefault="00F33EAE" w:rsidP="0082499D">
      <w:pPr>
        <w:spacing w:after="0" w:line="240" w:lineRule="auto"/>
      </w:pPr>
      <w:r>
        <w:separator/>
      </w:r>
    </w:p>
  </w:footnote>
  <w:footnote w:type="continuationSeparator" w:id="0">
    <w:p w14:paraId="6E9BB5A2" w14:textId="77777777" w:rsidR="00F33EAE" w:rsidRDefault="00F33EAE" w:rsidP="0082499D">
      <w:pPr>
        <w:spacing w:after="0" w:line="240" w:lineRule="auto"/>
      </w:pPr>
      <w:r>
        <w:continuationSeparator/>
      </w:r>
    </w:p>
  </w:footnote>
  <w:footnote w:id="1">
    <w:p w14:paraId="2844A273" w14:textId="77777777" w:rsidR="00D84031" w:rsidRDefault="007965BB">
      <w:pPr>
        <w:pStyle w:val="footnote1"/>
      </w:pPr>
      <w:r>
        <w:rPr>
          <w:vertAlign w:val="superscript"/>
        </w:rPr>
        <w:footnoteRef/>
      </w:r>
      <w:r>
        <w:rPr>
          <w:vertAlign w:val="superscript"/>
        </w:rPr>
        <w:tab/>
      </w:r>
      <w:hyperlink r:id="rId1">
        <w:r>
          <w:rPr>
            <w:color w:val="0000FF"/>
            <w:szCs w:val="20"/>
            <w:u w:val="single"/>
          </w:rPr>
          <w:t>list-3rd-country-participation_crea_en.pdf (europa.eu)</w:t>
        </w:r>
      </w:hyperlink>
    </w:p>
  </w:footnote>
  <w:footnote w:id="2">
    <w:p w14:paraId="6C18DA09" w14:textId="77777777" w:rsidR="00D84031" w:rsidRDefault="007965BB">
      <w:pPr>
        <w:pStyle w:val="footnote1"/>
      </w:pPr>
      <w:r>
        <w:rPr>
          <w:vertAlign w:val="superscript"/>
        </w:rPr>
        <w:footnoteRef/>
      </w:r>
      <w:r>
        <w:rPr>
          <w:vertAlign w:val="superscript"/>
        </w:rPr>
        <w:tab/>
      </w:r>
      <w:hyperlink r:id="rId2">
        <w:r>
          <w:rPr>
            <w:color w:val="0000FF"/>
            <w:szCs w:val="20"/>
            <w:u w:val="single"/>
          </w:rPr>
          <w:t>https://ec.europa.eu/info/strategy/priorities-2019-2024/stronger-europe-world/global-gateway_en</w:t>
        </w:r>
      </w:hyperlink>
    </w:p>
  </w:footnote>
  <w:footnote w:id="3">
    <w:p w14:paraId="10717752" w14:textId="77777777" w:rsidR="00D84031" w:rsidRDefault="007965BB">
      <w:pPr>
        <w:pStyle w:val="footnote1"/>
      </w:pPr>
      <w:r>
        <w:rPr>
          <w:vertAlign w:val="superscript"/>
        </w:rPr>
        <w:footnoteRef/>
      </w:r>
      <w:r>
        <w:rPr>
          <w:vertAlign w:val="superscript"/>
        </w:rPr>
        <w:tab/>
      </w:r>
      <w:r>
        <w:rPr>
          <w:color w:val="000000"/>
        </w:rPr>
        <w:t xml:space="preserve">For a full list of ESFRI-listed research infrastructures see </w:t>
      </w:r>
      <w:hyperlink r:id="rId3">
        <w:r>
          <w:rPr>
            <w:color w:val="0000FF"/>
            <w:szCs w:val="20"/>
            <w:u w:val="single"/>
          </w:rPr>
          <w:t>https://ri-portfolio.esfri.eu/ri-portfolio/table</w:t>
        </w:r>
      </w:hyperlink>
      <w:r>
        <w:rPr>
          <w:color w:val="000000"/>
        </w:rPr>
        <w:t>. In the social sciences and humanities domain, see for example: CESSDA - Consortium of European Social Science Data Archives (</w:t>
      </w:r>
      <w:hyperlink r:id="rId4">
        <w:r>
          <w:rPr>
            <w:color w:val="0000FF"/>
            <w:szCs w:val="20"/>
            <w:u w:val="single"/>
          </w:rPr>
          <w:t>https://www.cessda.eu/</w:t>
        </w:r>
      </w:hyperlink>
      <w:r>
        <w:rPr>
          <w:color w:val="000000"/>
        </w:rPr>
        <w:t>), ESS – European Social Survey (</w:t>
      </w:r>
      <w:hyperlink r:id="rId5">
        <w:r>
          <w:rPr>
            <w:color w:val="0000FF"/>
            <w:szCs w:val="20"/>
            <w:u w:val="single"/>
          </w:rPr>
          <w:t>https://www.europeansocialsurvey.org/</w:t>
        </w:r>
      </w:hyperlink>
      <w:r>
        <w:rPr>
          <w:color w:val="000000"/>
        </w:rPr>
        <w:t>), SHARE - Survey of Health, Ageing and Retirement in Europe (</w:t>
      </w:r>
      <w:hyperlink r:id="rId6">
        <w:r>
          <w:rPr>
            <w:color w:val="0000FF"/>
            <w:szCs w:val="20"/>
            <w:u w:val="single"/>
          </w:rPr>
          <w:t>https://www.share-eric.eu/</w:t>
        </w:r>
      </w:hyperlink>
      <w:r>
        <w:rPr>
          <w:color w:val="000000"/>
        </w:rPr>
        <w:t>) or the European Research Infrastructure for Heritage Science (</w:t>
      </w:r>
      <w:hyperlink r:id="rId7">
        <w:r>
          <w:rPr>
            <w:color w:val="0000FF"/>
            <w:szCs w:val="20"/>
            <w:u w:val="single"/>
          </w:rPr>
          <w:t>https://www.e-rihs.eu</w:t>
        </w:r>
      </w:hyperlink>
      <w:r>
        <w:rPr>
          <w:color w:val="000000"/>
        </w:rPr>
        <w:t>).</w:t>
      </w:r>
    </w:p>
  </w:footnote>
  <w:footnote w:id="4">
    <w:p w14:paraId="6BFB3591" w14:textId="77777777" w:rsidR="00D84031" w:rsidRDefault="007965BB">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1F42DF08" w14:textId="77777777" w:rsidR="00D84031" w:rsidRDefault="007965BB">
      <w:pPr>
        <w:pStyle w:val="footnote2"/>
      </w:pPr>
      <w:r>
        <w:rPr>
          <w:color w:val="000000"/>
        </w:rPr>
        <w:t>The Director-General responsible may delay the deadline(s) by up to two months.</w:t>
      </w:r>
    </w:p>
    <w:p w14:paraId="63730A59" w14:textId="77777777" w:rsidR="00D84031" w:rsidRDefault="007965BB">
      <w:pPr>
        <w:pStyle w:val="footnote2"/>
      </w:pPr>
      <w:r>
        <w:rPr>
          <w:color w:val="000000"/>
        </w:rPr>
        <w:t>All deadlines are at 17.00.00 Brussels local time.</w:t>
      </w:r>
    </w:p>
    <w:p w14:paraId="4F60ED5F" w14:textId="77777777" w:rsidR="00D84031" w:rsidRDefault="007965BB">
      <w:pPr>
        <w:pStyle w:val="footnote2"/>
      </w:pPr>
      <w:r>
        <w:rPr>
          <w:color w:val="000000"/>
        </w:rPr>
        <w:t>The budget amounts are subject to the availability of the appropriations provided for in the general budget of the Union for 2026 and 2027.</w:t>
      </w:r>
    </w:p>
  </w:footnote>
  <w:footnote w:id="5">
    <w:p w14:paraId="547F24B6" w14:textId="77777777" w:rsidR="00D84031" w:rsidRDefault="007965BB">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6">
    <w:p w14:paraId="2CB033BC" w14:textId="77777777" w:rsidR="00D84031" w:rsidRDefault="007965BB">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7EBD700F" w14:textId="77777777" w:rsidR="00D84031" w:rsidRDefault="007965BB">
      <w:pPr>
        <w:pStyle w:val="footnote2"/>
      </w:pPr>
      <w:r>
        <w:rPr>
          <w:color w:val="000000"/>
        </w:rPr>
        <w:t>The Director-General responsible may delay the deadline(s) by up to two months.</w:t>
      </w:r>
    </w:p>
    <w:p w14:paraId="4480FB91" w14:textId="77777777" w:rsidR="00D84031" w:rsidRDefault="007965BB">
      <w:pPr>
        <w:pStyle w:val="footnote2"/>
      </w:pPr>
      <w:r>
        <w:rPr>
          <w:color w:val="000000"/>
        </w:rPr>
        <w:t>All deadlines are at 17.00.00 Brussels local time.</w:t>
      </w:r>
    </w:p>
    <w:p w14:paraId="233FB6EE" w14:textId="77777777" w:rsidR="00D84031" w:rsidRDefault="007965BB">
      <w:pPr>
        <w:pStyle w:val="footnote2"/>
      </w:pPr>
      <w:r>
        <w:rPr>
          <w:color w:val="000000"/>
        </w:rPr>
        <w:t xml:space="preserve">The budget amounts are subject to the availability of the </w:t>
      </w:r>
      <w:r>
        <w:rPr>
          <w:color w:val="000000"/>
        </w:rPr>
        <w:t>appropriations provided for in the general budget of the Union for 2026 and 2027.</w:t>
      </w:r>
    </w:p>
  </w:footnote>
  <w:footnote w:id="7">
    <w:p w14:paraId="5E59865A" w14:textId="77777777" w:rsidR="00D84031" w:rsidRDefault="007965BB">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8">
    <w:p w14:paraId="2B8405E2" w14:textId="77777777" w:rsidR="00D84031" w:rsidRDefault="007965BB">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02E28B1E" w14:textId="77777777" w:rsidR="00D84031" w:rsidRDefault="007965BB">
      <w:pPr>
        <w:pStyle w:val="footnote2"/>
      </w:pPr>
      <w:r>
        <w:rPr>
          <w:color w:val="000000"/>
        </w:rPr>
        <w:t>The Director-General responsible may delay the deadline(s) by up to two months.</w:t>
      </w:r>
    </w:p>
    <w:p w14:paraId="47FFB379" w14:textId="77777777" w:rsidR="00D84031" w:rsidRDefault="007965BB">
      <w:pPr>
        <w:pStyle w:val="footnote2"/>
      </w:pPr>
      <w:r>
        <w:rPr>
          <w:color w:val="000000"/>
        </w:rPr>
        <w:t>All deadlines are at 17.00.00 Brussels local time.</w:t>
      </w:r>
    </w:p>
    <w:p w14:paraId="3794FDEE" w14:textId="77777777" w:rsidR="00D84031" w:rsidRDefault="007965BB">
      <w:pPr>
        <w:pStyle w:val="footnote2"/>
      </w:pPr>
      <w:r>
        <w:rPr>
          <w:color w:val="000000"/>
        </w:rPr>
        <w:t>The budget amounts are subject to the availability of the appropriations provided for in the general budget of the Union for 2026 and 2027.</w:t>
      </w:r>
    </w:p>
  </w:footnote>
  <w:footnote w:id="9">
    <w:p w14:paraId="69DE5D30" w14:textId="77777777" w:rsidR="00D84031" w:rsidRDefault="007965BB">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0">
    <w:p w14:paraId="12A9F074" w14:textId="77777777" w:rsidR="00D84031" w:rsidRDefault="007965BB">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1C7A48D7" w14:textId="77777777" w:rsidR="00D84031" w:rsidRDefault="007965BB">
      <w:pPr>
        <w:pStyle w:val="footnote2"/>
      </w:pPr>
      <w:r>
        <w:rPr>
          <w:color w:val="000000"/>
        </w:rPr>
        <w:t>The Director-General responsible may delay the deadline(s) by up to two months.</w:t>
      </w:r>
    </w:p>
    <w:p w14:paraId="1A492A83" w14:textId="77777777" w:rsidR="00D84031" w:rsidRDefault="007965BB">
      <w:pPr>
        <w:pStyle w:val="footnote2"/>
      </w:pPr>
      <w:r>
        <w:rPr>
          <w:color w:val="000000"/>
        </w:rPr>
        <w:t>All deadlines are at 17.00.00 Brussels local time.</w:t>
      </w:r>
    </w:p>
    <w:p w14:paraId="03F0A53B" w14:textId="77777777" w:rsidR="00D84031" w:rsidRDefault="007965BB">
      <w:pPr>
        <w:pStyle w:val="footnote2"/>
      </w:pPr>
      <w:r>
        <w:rPr>
          <w:color w:val="000000"/>
        </w:rPr>
        <w:t>The budget amounts are subject to the availability of the appropriations provided for in the general budget of the Union for 2026 and 2027.</w:t>
      </w:r>
    </w:p>
  </w:footnote>
  <w:footnote w:id="11">
    <w:p w14:paraId="41FF8068" w14:textId="77777777" w:rsidR="00D84031" w:rsidRDefault="007965BB">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2">
    <w:p w14:paraId="01EDE390" w14:textId="77777777" w:rsidR="00D84031" w:rsidRDefault="007965BB">
      <w:pPr>
        <w:pStyle w:val="footnote1"/>
      </w:pPr>
      <w:r>
        <w:rPr>
          <w:vertAlign w:val="superscript"/>
        </w:rPr>
        <w:footnoteRef/>
      </w:r>
      <w:r>
        <w:rPr>
          <w:vertAlign w:val="superscript"/>
        </w:rPr>
        <w:tab/>
      </w:r>
      <w:r>
        <w:rPr>
          <w:color w:val="000000"/>
        </w:rPr>
        <w:t xml:space="preserve">The </w:t>
      </w:r>
      <w:hyperlink r:id="rId8">
        <w:r>
          <w:rPr>
            <w:color w:val="0000FF"/>
            <w:szCs w:val="20"/>
            <w:u w:val="single"/>
          </w:rPr>
          <w:t>2025 report of the V-Dem Institute</w:t>
        </w:r>
      </w:hyperlink>
      <w:r>
        <w:rPr>
          <w:color w:val="000000"/>
        </w:rPr>
        <w:t xml:space="preserve"> (“25 years of Autocratization-Democracy Trumped?”) confirms the appalling signs, indicators and tendencies captured over previous years of measurement: “The trend of the ‘third wave of autocratization’ is deepening and spreading. That includes weakening of democracy in some established liberal democracies, breakdown of democracy in countries that were democratic for most of the 21st century, as well as deepening of autocracy in already autocratic states […] The global democratic decline deepens, regardless</w:t>
      </w:r>
      <w:r>
        <w:rPr>
          <w:color w:val="000000"/>
        </w:rPr>
        <w:t xml:space="preserve"> of how we slice the data and whichever measure we use” (pp. 9 and 10)</w:t>
      </w:r>
    </w:p>
  </w:footnote>
  <w:footnote w:id="13">
    <w:p w14:paraId="1E3FAD42" w14:textId="77777777" w:rsidR="00D84031" w:rsidRDefault="007965BB">
      <w:pPr>
        <w:pStyle w:val="footnote1"/>
      </w:pPr>
      <w:r>
        <w:rPr>
          <w:vertAlign w:val="superscript"/>
        </w:rPr>
        <w:footnoteRef/>
      </w:r>
      <w:r>
        <w:rPr>
          <w:vertAlign w:val="superscript"/>
        </w:rPr>
        <w:tab/>
      </w:r>
      <w:r>
        <w:rPr>
          <w:color w:val="000000"/>
        </w:rPr>
        <w:t xml:space="preserve">For a full list see </w:t>
      </w:r>
      <w:hyperlink r:id="rId9">
        <w:r>
          <w:rPr>
            <w:color w:val="0000FF"/>
            <w:szCs w:val="20"/>
            <w:u w:val="single"/>
          </w:rPr>
          <w:t>https://ri-portfolio.esfri.eu/ri-portfolio/table</w:t>
        </w:r>
      </w:hyperlink>
      <w:r>
        <w:rPr>
          <w:color w:val="000000"/>
        </w:rPr>
        <w:t>. In the social sciences domain, see for example: CESSDA - Consortium of European Social Science Data Archives (</w:t>
      </w:r>
      <w:hyperlink r:id="rId10">
        <w:r>
          <w:rPr>
            <w:color w:val="0000FF"/>
            <w:szCs w:val="20"/>
            <w:u w:val="single"/>
          </w:rPr>
          <w:t>https://www.cessda.eu/</w:t>
        </w:r>
      </w:hyperlink>
      <w:r>
        <w:rPr>
          <w:color w:val="000000"/>
        </w:rPr>
        <w:t>), ESS – European Social Survey (</w:t>
      </w:r>
      <w:hyperlink r:id="rId11">
        <w:r>
          <w:rPr>
            <w:color w:val="0000FF"/>
            <w:szCs w:val="20"/>
            <w:u w:val="single"/>
          </w:rPr>
          <w:t>https://www.europeansocialsurvey.org/</w:t>
        </w:r>
      </w:hyperlink>
      <w:r>
        <w:rPr>
          <w:color w:val="000000"/>
        </w:rPr>
        <w:t>), SHARE - Survey of Health, Ageing and Retirement in Europe (</w:t>
      </w:r>
      <w:hyperlink r:id="rId12">
        <w:r>
          <w:rPr>
            <w:color w:val="0000FF"/>
            <w:szCs w:val="20"/>
            <w:u w:val="single"/>
          </w:rPr>
          <w:t>https://www.share-eric.eu/</w:t>
        </w:r>
      </w:hyperlink>
      <w:r>
        <w:rPr>
          <w:color w:val="000000"/>
        </w:rPr>
        <w:t>) or the European Holocaust Research Infrastructure (</w:t>
      </w:r>
      <w:hyperlink r:id="rId13">
        <w:r>
          <w:rPr>
            <w:color w:val="0000FF"/>
            <w:szCs w:val="20"/>
            <w:u w:val="single"/>
          </w:rPr>
          <w:t>https://ehri-project.eu/</w:t>
        </w:r>
      </w:hyperlink>
      <w:r>
        <w:rPr>
          <w:color w:val="000000"/>
        </w:rPr>
        <w:t>)</w:t>
      </w:r>
    </w:p>
  </w:footnote>
  <w:footnote w:id="14">
    <w:p w14:paraId="0BE67B53" w14:textId="77777777" w:rsidR="00D84031" w:rsidRDefault="007965BB">
      <w:pPr>
        <w:pStyle w:val="footnote1"/>
      </w:pPr>
      <w:r>
        <w:rPr>
          <w:vertAlign w:val="superscript"/>
        </w:rPr>
        <w:footnoteRef/>
      </w:r>
      <w:r>
        <w:rPr>
          <w:vertAlign w:val="superscript"/>
        </w:rPr>
        <w:tab/>
      </w:r>
      <w:r>
        <w:rPr>
          <w:color w:val="000000"/>
        </w:rPr>
        <w:t xml:space="preserve">This </w:t>
      </w:r>
      <w:hyperlink r:id="rId14">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5">
        <w:r>
          <w:rPr>
            <w:color w:val="0000FF"/>
            <w:szCs w:val="20"/>
            <w:u w:val="single"/>
          </w:rPr>
          <w:t>https://ec.europa.eu/info/funding-tenders/opportunities/docs/2021-2027/horizon/guidance/ls-decision_he_en.pdf</w:t>
        </w:r>
      </w:hyperlink>
    </w:p>
  </w:footnote>
  <w:footnote w:id="15">
    <w:p w14:paraId="2415C811" w14:textId="77777777" w:rsidR="00D84031" w:rsidRDefault="007965BB">
      <w:pPr>
        <w:pStyle w:val="footnote1"/>
      </w:pPr>
      <w:r>
        <w:rPr>
          <w:vertAlign w:val="superscript"/>
        </w:rPr>
        <w:footnoteRef/>
      </w:r>
      <w:r>
        <w:rPr>
          <w:vertAlign w:val="superscript"/>
        </w:rPr>
        <w:tab/>
      </w:r>
      <w:r>
        <w:rPr>
          <w:color w:val="000000"/>
        </w:rPr>
        <w:t>Entails, but not limited to, public representatives, journalists, investigative reporters, human rights defenders, activists, civil society actors, political figures, and anonymous individuals engaging in the public sphere.</w:t>
      </w:r>
    </w:p>
  </w:footnote>
  <w:footnote w:id="16">
    <w:p w14:paraId="72A8EE64" w14:textId="77777777" w:rsidR="00D84031" w:rsidRDefault="007965BB">
      <w:pPr>
        <w:pStyle w:val="footnote1"/>
      </w:pPr>
      <w:r>
        <w:rPr>
          <w:vertAlign w:val="superscript"/>
        </w:rPr>
        <w:footnoteRef/>
      </w:r>
      <w:r>
        <w:rPr>
          <w:vertAlign w:val="superscript"/>
        </w:rPr>
        <w:tab/>
      </w:r>
      <w:r>
        <w:rPr>
          <w:color w:val="000000"/>
        </w:rPr>
        <w:t xml:space="preserve">In this topic, political activities and being “politically active” should be understood as going beyond formal </w:t>
      </w:r>
      <w:r>
        <w:rPr>
          <w:color w:val="000000"/>
        </w:rPr>
        <w:t>institutional structures to include a wide range of public engagement activities, such as activism, community organising, and civic participation. Moreover, the topic calls for research that goes beyond those already active in public life, by examining how violence and harassment affect the aspirations, motivations, and trajectories of girls, women, and LGBTIQ people who seek to engage in public and political spheres.</w:t>
      </w:r>
    </w:p>
  </w:footnote>
  <w:footnote w:id="17">
    <w:p w14:paraId="55CE77B3" w14:textId="77777777" w:rsidR="00D84031" w:rsidRDefault="007965BB">
      <w:pPr>
        <w:pStyle w:val="footnote1"/>
      </w:pPr>
      <w:r>
        <w:rPr>
          <w:vertAlign w:val="superscript"/>
        </w:rPr>
        <w:footnoteRef/>
      </w:r>
      <w:r>
        <w:rPr>
          <w:vertAlign w:val="superscript"/>
        </w:rPr>
        <w:tab/>
      </w:r>
      <w:r>
        <w:rPr>
          <w:color w:val="000000"/>
        </w:rPr>
        <w:t xml:space="preserve">Political Guidelines for the next European Commission 2024-2029, </w:t>
      </w:r>
      <w:hyperlink r:id="rId16">
        <w:r>
          <w:rPr>
            <w:color w:val="0000FF"/>
            <w:szCs w:val="20"/>
            <w:u w:val="single"/>
          </w:rPr>
          <w:t>https://europa.eu/!wywg4P</w:t>
        </w:r>
      </w:hyperlink>
      <w:r>
        <w:rPr>
          <w:color w:val="000000"/>
        </w:rPr>
        <w:t>, page 20.</w:t>
      </w:r>
    </w:p>
  </w:footnote>
  <w:footnote w:id="18">
    <w:p w14:paraId="6CD2F427" w14:textId="77777777" w:rsidR="00D84031" w:rsidRDefault="007965BB">
      <w:pPr>
        <w:pStyle w:val="footnote1"/>
      </w:pPr>
      <w:r>
        <w:rPr>
          <w:vertAlign w:val="superscript"/>
        </w:rPr>
        <w:footnoteRef/>
      </w:r>
      <w:r>
        <w:rPr>
          <w:vertAlign w:val="superscript"/>
        </w:rPr>
        <w:tab/>
      </w:r>
      <w:r>
        <w:rPr>
          <w:color w:val="000000"/>
        </w:rPr>
        <w:t>COM(2025)97 - Communication from the Commission to the European Parliament, the Council, the European Economic and Social Committee and the Committee of the Regions. A Roadmap for Women’s Rights. Principle 7 of the Roadmap’s annex reaffirms every woman’s right to active and safe participation in public life and outlines key objectives to protect and promote this right.</w:t>
      </w:r>
    </w:p>
  </w:footnote>
  <w:footnote w:id="19">
    <w:p w14:paraId="73ED6C1C" w14:textId="77777777" w:rsidR="00D84031" w:rsidRDefault="007965BB">
      <w:pPr>
        <w:pStyle w:val="footnote1"/>
      </w:pPr>
      <w:r>
        <w:rPr>
          <w:vertAlign w:val="superscript"/>
        </w:rPr>
        <w:footnoteRef/>
      </w:r>
      <w:r>
        <w:rPr>
          <w:vertAlign w:val="superscript"/>
        </w:rPr>
        <w:tab/>
      </w:r>
      <w:r>
        <w:rPr>
          <w:color w:val="000000"/>
        </w:rPr>
        <w:t xml:space="preserve">Racist and anti-LGBTIQ rhetoric especially is on the rise: </w:t>
      </w:r>
      <w:hyperlink r:id="rId17">
        <w:r>
          <w:rPr>
            <w:color w:val="0000FF"/>
            <w:szCs w:val="20"/>
            <w:u w:val="single"/>
          </w:rPr>
          <w:t>https://fra.europa.eu/en/publication/2024/lgbtiq-crossroads-progress-and-challenges</w:t>
        </w:r>
      </w:hyperlink>
      <w:r>
        <w:rPr>
          <w:color w:val="000000"/>
        </w:rPr>
        <w:t xml:space="preserve">; </w:t>
      </w:r>
      <w:hyperlink r:id="rId18">
        <w:r>
          <w:rPr>
            <w:color w:val="0000FF"/>
            <w:szCs w:val="20"/>
            <w:u w:val="single"/>
          </w:rPr>
          <w:t>https://fra.europa.eu/en/news/2023/black-people-eu-face-ever-more-racism</w:t>
        </w:r>
      </w:hyperlink>
      <w:r>
        <w:rPr>
          <w:color w:val="000000"/>
        </w:rPr>
        <w:t xml:space="preserve">; </w:t>
      </w:r>
      <w:hyperlink r:id="rId19">
        <w:r>
          <w:rPr>
            <w:color w:val="0000FF"/>
            <w:szCs w:val="20"/>
            <w:u w:val="single"/>
          </w:rPr>
          <w:t>https://www.ilga-europe.org/report/annual-review-2023/</w:t>
        </w:r>
      </w:hyperlink>
    </w:p>
  </w:footnote>
  <w:footnote w:id="20">
    <w:p w14:paraId="76595665" w14:textId="77777777" w:rsidR="00D84031" w:rsidRDefault="007965BB">
      <w:pPr>
        <w:pStyle w:val="footnote1"/>
      </w:pPr>
      <w:r>
        <w:rPr>
          <w:vertAlign w:val="superscript"/>
        </w:rPr>
        <w:footnoteRef/>
      </w:r>
      <w:r>
        <w:rPr>
          <w:vertAlign w:val="superscript"/>
        </w:rPr>
        <w:tab/>
      </w:r>
      <w:r>
        <w:rPr>
          <w:color w:val="000000"/>
        </w:rPr>
        <w:t xml:space="preserve">This </w:t>
      </w:r>
      <w:hyperlink r:id="rId2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1">
        <w:r>
          <w:rPr>
            <w:color w:val="0000FF"/>
            <w:szCs w:val="20"/>
            <w:u w:val="single"/>
          </w:rPr>
          <w:t>https://ec.europa.eu/info/funding-tenders/opportunities/docs/2021-2027/horizon/guidance/ls-decision_he_en.pdf</w:t>
        </w:r>
      </w:hyperlink>
    </w:p>
  </w:footnote>
  <w:footnote w:id="21">
    <w:p w14:paraId="5C545401" w14:textId="77777777" w:rsidR="00D84031" w:rsidRDefault="007965BB">
      <w:pPr>
        <w:pStyle w:val="footnote1"/>
      </w:pPr>
      <w:r>
        <w:rPr>
          <w:vertAlign w:val="superscript"/>
        </w:rPr>
        <w:footnoteRef/>
      </w:r>
      <w:r>
        <w:rPr>
          <w:vertAlign w:val="superscript"/>
        </w:rPr>
        <w:tab/>
      </w:r>
      <w:r>
        <w:rPr>
          <w:color w:val="000000"/>
        </w:rPr>
        <w:t xml:space="preserve">In the context of this call “low-income and low-middle income countries” are understood as the low to middle income non-associated third countries in the list of participating countries according to the Horizon Europe rules for participation and proposal procedure. Source: European Commission, “List of Participating Countries in Horizon Europe,” Version 5.3 (24.01.2024), p. 3. Available at: </w:t>
      </w:r>
      <w:hyperlink r:id="rId22">
        <w:r>
          <w:rPr>
            <w:color w:val="0000FF"/>
            <w:szCs w:val="20"/>
            <w:u w:val="single"/>
          </w:rPr>
          <w:t>https://ec.europa.eu/info/funding-tenders/opportunities/docs/2021-2027/common/guidance/list-3rd-country-participation_horizon-euratom_en.pdf</w:t>
        </w:r>
      </w:hyperlink>
    </w:p>
  </w:footnote>
  <w:footnote w:id="22">
    <w:p w14:paraId="2A27992F" w14:textId="77777777" w:rsidR="00D84031" w:rsidRDefault="007965BB">
      <w:pPr>
        <w:pStyle w:val="footnote1"/>
      </w:pPr>
      <w:r>
        <w:rPr>
          <w:vertAlign w:val="superscript"/>
        </w:rPr>
        <w:footnoteRef/>
      </w:r>
      <w:r>
        <w:rPr>
          <w:vertAlign w:val="superscript"/>
        </w:rPr>
        <w:tab/>
      </w:r>
      <w:r>
        <w:rPr>
          <w:color w:val="000000"/>
        </w:rPr>
        <w:t>Fragile contexts refer to low- and middle-income countries or situations characterized by weak or failing institutions, limited governance, conflict or violence, economic instability, and humanitarian crises, which hinder the achievement of development goals and undermine the well-being of citizens. These contexts are often marked by a lack of transparency, accountability, and participation in decision-making processes, and may be identified through various indicators.</w:t>
      </w:r>
    </w:p>
  </w:footnote>
  <w:footnote w:id="23">
    <w:p w14:paraId="4C2C6C5A" w14:textId="77777777" w:rsidR="00D84031" w:rsidRDefault="007965BB">
      <w:pPr>
        <w:pStyle w:val="footnote1"/>
      </w:pPr>
      <w:r>
        <w:rPr>
          <w:vertAlign w:val="superscript"/>
        </w:rPr>
        <w:footnoteRef/>
      </w:r>
      <w:r>
        <w:rPr>
          <w:vertAlign w:val="superscript"/>
        </w:rPr>
        <w:tab/>
      </w:r>
      <w:r>
        <w:rPr>
          <w:color w:val="000000"/>
        </w:rPr>
        <w:t xml:space="preserve">Such as the EU Action Plan on Human Rights and Democracy 2020 – 2027, which is linked to the Global Gateway initiative and EU cooperation instruments linked to the Global Gateway initiative and EU cooperation instruments: </w:t>
      </w:r>
      <w:hyperlink r:id="rId23">
        <w:r>
          <w:rPr>
            <w:color w:val="0000FF"/>
            <w:szCs w:val="20"/>
            <w:u w:val="single"/>
          </w:rPr>
          <w:t>https://www.eeas.europa.eu/sites/default/files/documents/2024/Action-Plan-EN_2020-2027.pdf</w:t>
        </w:r>
      </w:hyperlink>
      <w:r>
        <w:rPr>
          <w:color w:val="000000"/>
          <w:u w:val="single"/>
        </w:rPr>
        <w:t xml:space="preserve">, </w:t>
      </w:r>
      <w:hyperlink r:id="rId24">
        <w:r>
          <w:rPr>
            <w:color w:val="0000FF"/>
            <w:szCs w:val="20"/>
            <w:u w:val="single"/>
          </w:rPr>
          <w:t>https://www.eeas.europa.eu/sites/default/files/documents/2024/Action-Plan-EN_2020-2027.pdf</w:t>
        </w:r>
      </w:hyperlink>
      <w:r>
        <w:rPr>
          <w:color w:val="000000"/>
        </w:rPr>
        <w:t>. Examples of EU initiatives include Team Europe Democracy, the Territorial Approach to local Development, and the Neighbourhood, Development and International Cooperation Instrument, which aim to promote human rights and democracy worldwide by supporting good governance, the rule of law, and human rights protection.</w:t>
      </w:r>
    </w:p>
  </w:footnote>
  <w:footnote w:id="24">
    <w:p w14:paraId="5F458F16" w14:textId="77777777" w:rsidR="00D84031" w:rsidRDefault="007965BB">
      <w:pPr>
        <w:pStyle w:val="footnote1"/>
      </w:pPr>
      <w:r>
        <w:rPr>
          <w:vertAlign w:val="superscript"/>
        </w:rPr>
        <w:footnoteRef/>
      </w:r>
      <w:r>
        <w:rPr>
          <w:vertAlign w:val="superscript"/>
        </w:rPr>
        <w:tab/>
      </w:r>
      <w:r>
        <w:rPr>
          <w:color w:val="000000"/>
        </w:rPr>
        <w:t xml:space="preserve">This </w:t>
      </w:r>
      <w:hyperlink r:id="rId2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6">
        <w:r>
          <w:rPr>
            <w:color w:val="0000FF"/>
            <w:szCs w:val="20"/>
            <w:u w:val="single"/>
          </w:rPr>
          <w:t>https://ec.europa.eu/info/funding-tenders/opportunities/docs/2021-2027/horizon/guidance/ls-decision_he_en.pdf</w:t>
        </w:r>
      </w:hyperlink>
    </w:p>
  </w:footnote>
  <w:footnote w:id="25">
    <w:p w14:paraId="0A8F2965" w14:textId="77777777" w:rsidR="00D84031" w:rsidRDefault="007965BB">
      <w:pPr>
        <w:pStyle w:val="footnote1"/>
      </w:pPr>
      <w:r>
        <w:rPr>
          <w:vertAlign w:val="superscript"/>
        </w:rPr>
        <w:footnoteRef/>
      </w:r>
      <w:r>
        <w:rPr>
          <w:vertAlign w:val="superscript"/>
        </w:rPr>
        <w:tab/>
      </w:r>
      <w:r>
        <w:rPr>
          <w:color w:val="000000"/>
        </w:rPr>
        <w:t>News media organisations are those in which a core activity is the regular production and dissemination of professional news content and/or factual programming, irrespective of its format (audio-visual media, broadcasting, printed news, newswires, multimedia, radio, online, etc.), under the editorial workflows, standards and responsibility of the said organisation.</w:t>
      </w:r>
    </w:p>
  </w:footnote>
  <w:footnote w:id="26">
    <w:p w14:paraId="3133B879" w14:textId="77777777" w:rsidR="00D84031" w:rsidRDefault="007965BB">
      <w:pPr>
        <w:pStyle w:val="footnote1"/>
      </w:pPr>
      <w:r>
        <w:rPr>
          <w:vertAlign w:val="superscript"/>
        </w:rPr>
        <w:footnoteRef/>
      </w:r>
      <w:r>
        <w:rPr>
          <w:vertAlign w:val="superscript"/>
        </w:rPr>
        <w:tab/>
      </w:r>
      <w:r>
        <w:rPr>
          <w:color w:val="000000"/>
        </w:rPr>
        <w:t xml:space="preserve">This </w:t>
      </w:r>
      <w:hyperlink r:id="rId2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8">
        <w:r>
          <w:rPr>
            <w:color w:val="0000FF"/>
            <w:szCs w:val="20"/>
            <w:u w:val="single"/>
          </w:rPr>
          <w:t>https://ec.europa.eu/info/funding-tenders/opportunities/docs/2021-2027/horizon/guidance/ls-decision_he_en.pdf</w:t>
        </w:r>
      </w:hyperlink>
    </w:p>
  </w:footnote>
  <w:footnote w:id="27">
    <w:p w14:paraId="2838B6F3" w14:textId="77777777" w:rsidR="00D84031" w:rsidRDefault="007965BB">
      <w:pPr>
        <w:pStyle w:val="footnote1"/>
      </w:pPr>
      <w:r>
        <w:rPr>
          <w:vertAlign w:val="superscript"/>
        </w:rPr>
        <w:footnoteRef/>
      </w:r>
      <w:r>
        <w:rPr>
          <w:vertAlign w:val="superscript"/>
        </w:rPr>
        <w:tab/>
      </w:r>
      <w:hyperlink r:id="rId29">
        <w:r>
          <w:rPr>
            <w:color w:val="0000FF"/>
            <w:szCs w:val="20"/>
            <w:u w:val="single"/>
          </w:rPr>
          <w:t>The European Media Industry Outlook | Shaping Europe’s digital future</w:t>
        </w:r>
      </w:hyperlink>
    </w:p>
  </w:footnote>
  <w:footnote w:id="28">
    <w:p w14:paraId="22CF5C93" w14:textId="77777777" w:rsidR="00D84031" w:rsidRDefault="007965BB">
      <w:pPr>
        <w:pStyle w:val="footnote1"/>
      </w:pPr>
      <w:r>
        <w:rPr>
          <w:vertAlign w:val="superscript"/>
        </w:rPr>
        <w:footnoteRef/>
      </w:r>
      <w:r>
        <w:rPr>
          <w:vertAlign w:val="superscript"/>
        </w:rPr>
        <w:tab/>
      </w:r>
      <w:r>
        <w:rPr>
          <w:color w:val="000000"/>
        </w:rPr>
        <w:t xml:space="preserve">This </w:t>
      </w:r>
      <w:hyperlink r:id="rId3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1">
        <w:r>
          <w:rPr>
            <w:color w:val="0000FF"/>
            <w:szCs w:val="20"/>
            <w:u w:val="single"/>
          </w:rPr>
          <w:t>https://ec.europa.eu/info/funding-tenders/opportunities/docs/2021-2027/horizon/guidance/ls-decision_he_en.pdf</w:t>
        </w:r>
      </w:hyperlink>
    </w:p>
  </w:footnote>
  <w:footnote w:id="29">
    <w:p w14:paraId="081F3425" w14:textId="77777777" w:rsidR="00D84031" w:rsidRDefault="007965BB">
      <w:pPr>
        <w:pStyle w:val="footnote1"/>
      </w:pPr>
      <w:r>
        <w:rPr>
          <w:vertAlign w:val="superscript"/>
        </w:rPr>
        <w:footnoteRef/>
      </w:r>
      <w:r>
        <w:rPr>
          <w:vertAlign w:val="superscript"/>
        </w:rPr>
        <w:tab/>
      </w:r>
      <w:r>
        <w:rPr>
          <w:color w:val="000000"/>
        </w:rPr>
        <w:t>In 2020 and 2021, the Commission adopted five strategies to create the conditions for everyone to live, thrive and lead regardless of differences based on gender, racial or ethnic origin, religion or belief, disability, age or sexual orientation: the LGBTIQ equality strategy 2020-2025, the gender equality strategy 2020-2025, the strategy for the rights of persons with disabilities 2021-2030, the EU anti-racism action plan 2020-2025, the EU Roma strategic framework for equality, inclusion, and participation</w:t>
      </w:r>
      <w:r>
        <w:rPr>
          <w:color w:val="000000"/>
        </w:rPr>
        <w:t xml:space="preserve"> 2020-2030. Under the 2024-2029 political cycle, the Commission has committed to renew the strategies on Gender Equality, LGBTIQ and anti-racism.</w:t>
      </w:r>
    </w:p>
  </w:footnote>
  <w:footnote w:id="30">
    <w:p w14:paraId="30202085" w14:textId="77777777" w:rsidR="00D84031" w:rsidRDefault="007965BB">
      <w:pPr>
        <w:pStyle w:val="footnote1"/>
      </w:pPr>
      <w:r>
        <w:rPr>
          <w:vertAlign w:val="superscript"/>
        </w:rPr>
        <w:footnoteRef/>
      </w:r>
      <w:r>
        <w:rPr>
          <w:vertAlign w:val="superscript"/>
        </w:rPr>
        <w:tab/>
      </w:r>
      <w:r>
        <w:rPr>
          <w:color w:val="000000"/>
        </w:rPr>
        <w:t xml:space="preserve">This </w:t>
      </w:r>
      <w:hyperlink r:id="rId3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3">
        <w:r>
          <w:rPr>
            <w:color w:val="0000FF"/>
            <w:szCs w:val="20"/>
            <w:u w:val="single"/>
          </w:rPr>
          <w:t>https://ec.europa.eu/info/funding-tenders/opportunities/docs/2021-2027/horizon/guidance/ls-decision_he_en.pdf</w:t>
        </w:r>
      </w:hyperlink>
    </w:p>
  </w:footnote>
  <w:footnote w:id="31">
    <w:p w14:paraId="5B8C672E" w14:textId="77777777" w:rsidR="00D84031" w:rsidRDefault="007965BB">
      <w:pPr>
        <w:pStyle w:val="footnote1"/>
      </w:pPr>
      <w:r>
        <w:rPr>
          <w:vertAlign w:val="superscript"/>
        </w:rPr>
        <w:footnoteRef/>
      </w:r>
      <w:r>
        <w:rPr>
          <w:vertAlign w:val="superscript"/>
        </w:rPr>
        <w:tab/>
      </w:r>
      <w:r>
        <w:rPr>
          <w:color w:val="000000"/>
        </w:rPr>
        <w:t xml:space="preserve">Such as the Intergovernmental Panel on Climate Change (IPCC), the Intergovernmental Science-Policy </w:t>
      </w:r>
      <w:r>
        <w:rPr>
          <w:color w:val="000000"/>
        </w:rPr>
        <w:t>Platform on Biodiversity and Ecosystem Services (IPBES), the Intergovernmental Science-Policy Panel on Chemicals, Waste and Pollution (ISP-CWP), the International Resource Panel (IRP), and the International Platform for Ocean Sustainability (IPOS)</w:t>
      </w:r>
    </w:p>
  </w:footnote>
  <w:footnote w:id="32">
    <w:p w14:paraId="345F39E3" w14:textId="77777777" w:rsidR="00D84031" w:rsidRDefault="007965BB">
      <w:pPr>
        <w:pStyle w:val="footnote1"/>
      </w:pPr>
      <w:r>
        <w:rPr>
          <w:vertAlign w:val="superscript"/>
        </w:rPr>
        <w:footnoteRef/>
      </w:r>
      <w:r>
        <w:rPr>
          <w:vertAlign w:val="superscript"/>
        </w:rPr>
        <w:tab/>
      </w:r>
      <w:r>
        <w:rPr>
          <w:color w:val="000000"/>
        </w:rPr>
        <w:t xml:space="preserve">This </w:t>
      </w:r>
      <w:hyperlink r:id="rId34">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5">
        <w:r>
          <w:rPr>
            <w:color w:val="0000FF"/>
            <w:szCs w:val="20"/>
            <w:u w:val="single"/>
          </w:rPr>
          <w:t>https://ec.europa.eu/info/funding-tenders/opportunities/docs/2021-2027/horizon/guidance/ls-decision_he_en.pdf</w:t>
        </w:r>
      </w:hyperlink>
    </w:p>
  </w:footnote>
  <w:footnote w:id="33">
    <w:p w14:paraId="443C7BB4" w14:textId="77777777" w:rsidR="00D84031" w:rsidRDefault="007965BB">
      <w:pPr>
        <w:pStyle w:val="footnote1"/>
      </w:pPr>
      <w:r>
        <w:rPr>
          <w:vertAlign w:val="superscript"/>
        </w:rPr>
        <w:footnoteRef/>
      </w:r>
      <w:r>
        <w:rPr>
          <w:vertAlign w:val="superscript"/>
        </w:rPr>
        <w:tab/>
      </w:r>
      <w:hyperlink r:id="rId36">
        <w:r>
          <w:rPr>
            <w:color w:val="0000FF"/>
            <w:szCs w:val="20"/>
            <w:u w:val="single"/>
          </w:rPr>
          <w:t>https://www.unwomen.org/en/news/stories/2019/10/compilation-the-power-of-women-peacebuilders</w:t>
        </w:r>
      </w:hyperlink>
    </w:p>
  </w:footnote>
  <w:footnote w:id="34">
    <w:p w14:paraId="5F6271BE" w14:textId="77777777" w:rsidR="00D84031" w:rsidRDefault="007965BB">
      <w:pPr>
        <w:pStyle w:val="footnote1"/>
      </w:pPr>
      <w:r>
        <w:rPr>
          <w:vertAlign w:val="superscript"/>
        </w:rPr>
        <w:footnoteRef/>
      </w:r>
      <w:r>
        <w:rPr>
          <w:vertAlign w:val="superscript"/>
        </w:rPr>
        <w:tab/>
      </w:r>
      <w:r>
        <w:rPr>
          <w:color w:val="000000"/>
        </w:rPr>
        <w:t xml:space="preserve">This </w:t>
      </w:r>
      <w:hyperlink r:id="rId3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8">
        <w:r>
          <w:rPr>
            <w:color w:val="0000FF"/>
            <w:szCs w:val="20"/>
            <w:u w:val="single"/>
          </w:rPr>
          <w:t>https://ec.europa.eu/info/funding-tenders/opportunities/docs/2021-2027/horizon/guidance/ls-decision_he_en.pdf</w:t>
        </w:r>
      </w:hyperlink>
    </w:p>
  </w:footnote>
  <w:footnote w:id="35">
    <w:p w14:paraId="5EB27F8E" w14:textId="77777777" w:rsidR="00D84031" w:rsidRDefault="007965BB">
      <w:pPr>
        <w:pStyle w:val="footnote1"/>
      </w:pPr>
      <w:r>
        <w:rPr>
          <w:vertAlign w:val="superscript"/>
        </w:rPr>
        <w:footnoteRef/>
      </w:r>
      <w:r>
        <w:rPr>
          <w:vertAlign w:val="superscript"/>
        </w:rPr>
        <w:tab/>
      </w:r>
      <w:hyperlink r:id="rId39">
        <w:r>
          <w:rPr>
            <w:color w:val="0000FF"/>
            <w:szCs w:val="20"/>
            <w:u w:val="single"/>
          </w:rPr>
          <w:t>https://ec.europa.eu/commission/presscorner/detail/en/ip_24_1707</w:t>
        </w:r>
      </w:hyperlink>
    </w:p>
  </w:footnote>
  <w:footnote w:id="36">
    <w:p w14:paraId="00D45C42" w14:textId="77777777" w:rsidR="00D84031" w:rsidRDefault="007965BB">
      <w:pPr>
        <w:pStyle w:val="footnote1"/>
      </w:pPr>
      <w:r>
        <w:rPr>
          <w:vertAlign w:val="superscript"/>
        </w:rPr>
        <w:footnoteRef/>
      </w:r>
      <w:r>
        <w:rPr>
          <w:vertAlign w:val="superscript"/>
        </w:rPr>
        <w:tab/>
      </w:r>
      <w:hyperlink r:id="rId40">
        <w:r>
          <w:rPr>
            <w:color w:val="0000FF"/>
            <w:szCs w:val="20"/>
            <w:u w:val="single"/>
          </w:rPr>
          <w:t>https://disinfocode.eu/eu-elections-2024/</w:t>
        </w:r>
      </w:hyperlink>
    </w:p>
  </w:footnote>
  <w:footnote w:id="37">
    <w:p w14:paraId="6DE3F224" w14:textId="77777777" w:rsidR="00D84031" w:rsidRDefault="007965BB">
      <w:pPr>
        <w:pStyle w:val="footnote1"/>
      </w:pPr>
      <w:r>
        <w:rPr>
          <w:vertAlign w:val="superscript"/>
        </w:rPr>
        <w:footnoteRef/>
      </w:r>
      <w:r>
        <w:rPr>
          <w:vertAlign w:val="superscript"/>
        </w:rPr>
        <w:tab/>
      </w:r>
      <w:r>
        <w:rPr>
          <w:color w:val="000000"/>
        </w:rPr>
        <w:t xml:space="preserve">This </w:t>
      </w:r>
      <w:hyperlink r:id="rId4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42">
        <w:r>
          <w:rPr>
            <w:color w:val="0000FF"/>
            <w:szCs w:val="20"/>
            <w:u w:val="single"/>
          </w:rPr>
          <w:t>https://ec.europa.eu/info/funding-tenders/opportunities/docs/2021-2027/horizon/guidance/ls-decision_he_en.pdf</w:t>
        </w:r>
      </w:hyperlink>
    </w:p>
  </w:footnote>
  <w:footnote w:id="38">
    <w:p w14:paraId="5CCD48B0" w14:textId="77777777" w:rsidR="00D84031" w:rsidRDefault="007965BB">
      <w:pPr>
        <w:pStyle w:val="footnote1"/>
      </w:pPr>
      <w:r>
        <w:rPr>
          <w:vertAlign w:val="superscript"/>
        </w:rPr>
        <w:footnoteRef/>
      </w:r>
      <w:r>
        <w:rPr>
          <w:vertAlign w:val="superscript"/>
        </w:rPr>
        <w:tab/>
      </w:r>
      <w:r>
        <w:rPr>
          <w:color w:val="000000"/>
        </w:rPr>
        <w:t xml:space="preserve">This </w:t>
      </w:r>
      <w:hyperlink r:id="rId4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44">
        <w:r>
          <w:rPr>
            <w:color w:val="0000FF"/>
            <w:szCs w:val="20"/>
            <w:u w:val="single"/>
          </w:rPr>
          <w:t>https://ec.europa.eu/info/funding-tenders/opportunities/docs/2021-2027/horizon/guidance/ls-decision_he_en.pdf</w:t>
        </w:r>
      </w:hyperlink>
    </w:p>
  </w:footnote>
  <w:footnote w:id="39">
    <w:p w14:paraId="4A6A65D3" w14:textId="77777777" w:rsidR="00D84031" w:rsidRDefault="007965BB">
      <w:pPr>
        <w:pStyle w:val="footnote1"/>
      </w:pPr>
      <w:r>
        <w:rPr>
          <w:vertAlign w:val="superscript"/>
        </w:rPr>
        <w:footnoteRef/>
      </w:r>
      <w:r>
        <w:rPr>
          <w:vertAlign w:val="superscript"/>
        </w:rPr>
        <w:tab/>
      </w:r>
      <w:hyperlink r:id="rId45">
        <w:r>
          <w:rPr>
            <w:color w:val="0000FF"/>
            <w:szCs w:val="20"/>
            <w:u w:val="single"/>
          </w:rPr>
          <w:t>https://commission.europa.eu/topics/defence/safer-together-path-towards-fully-prepared-union_en</w:t>
        </w:r>
      </w:hyperlink>
    </w:p>
  </w:footnote>
  <w:footnote w:id="40">
    <w:p w14:paraId="6ED119FB" w14:textId="77777777" w:rsidR="00D84031" w:rsidRDefault="007965BB">
      <w:pPr>
        <w:pStyle w:val="footnote1"/>
      </w:pPr>
      <w:r>
        <w:rPr>
          <w:vertAlign w:val="superscript"/>
        </w:rPr>
        <w:footnoteRef/>
      </w:r>
      <w:r>
        <w:rPr>
          <w:vertAlign w:val="superscript"/>
        </w:rPr>
        <w:tab/>
      </w:r>
      <w:hyperlink r:id="rId46">
        <w:r>
          <w:rPr>
            <w:color w:val="0000FF"/>
            <w:szCs w:val="20"/>
            <w:u w:val="single"/>
          </w:rPr>
          <w:t>https://ec.europa.eu/commission/presscorner/detail/en/ip_20_2250</w:t>
        </w:r>
      </w:hyperlink>
    </w:p>
  </w:footnote>
  <w:footnote w:id="41">
    <w:p w14:paraId="66DE9337" w14:textId="77777777" w:rsidR="00D84031" w:rsidRDefault="007965BB">
      <w:pPr>
        <w:pStyle w:val="footnote1"/>
      </w:pPr>
      <w:r>
        <w:rPr>
          <w:vertAlign w:val="superscript"/>
        </w:rPr>
        <w:footnoteRef/>
      </w:r>
      <w:r>
        <w:rPr>
          <w:vertAlign w:val="superscript"/>
        </w:rPr>
        <w:tab/>
      </w:r>
      <w:hyperlink r:id="rId47">
        <w:r>
          <w:rPr>
            <w:color w:val="0000FF"/>
            <w:szCs w:val="20"/>
            <w:u w:val="single"/>
          </w:rPr>
          <w:t>https://commission.europa.eu/strategy-and-policy/priorities-2019-2024/europe-fit-digital-age/digital-services-act_en</w:t>
        </w:r>
      </w:hyperlink>
    </w:p>
  </w:footnote>
  <w:footnote w:id="42">
    <w:p w14:paraId="03C28784" w14:textId="77777777" w:rsidR="00D84031" w:rsidRDefault="007965BB">
      <w:pPr>
        <w:pStyle w:val="footnote1"/>
      </w:pPr>
      <w:r>
        <w:rPr>
          <w:vertAlign w:val="superscript"/>
        </w:rPr>
        <w:footnoteRef/>
      </w:r>
      <w:r>
        <w:rPr>
          <w:vertAlign w:val="superscript"/>
        </w:rPr>
        <w:tab/>
      </w:r>
      <w:hyperlink r:id="rId48">
        <w:r>
          <w:rPr>
            <w:color w:val="0000FF"/>
            <w:szCs w:val="20"/>
            <w:u w:val="single"/>
          </w:rPr>
          <w:t>https://digital-strategy.ec.europa.eu/en/policies/european-digital-media-observatory</w:t>
        </w:r>
      </w:hyperlink>
    </w:p>
  </w:footnote>
  <w:footnote w:id="43">
    <w:p w14:paraId="58D580F5" w14:textId="77777777" w:rsidR="00D84031" w:rsidRDefault="007965BB">
      <w:pPr>
        <w:pStyle w:val="footnote1"/>
      </w:pPr>
      <w:r>
        <w:rPr>
          <w:vertAlign w:val="superscript"/>
        </w:rPr>
        <w:footnoteRef/>
      </w:r>
      <w:r>
        <w:rPr>
          <w:vertAlign w:val="superscript"/>
        </w:rPr>
        <w:tab/>
      </w:r>
      <w:r>
        <w:rPr>
          <w:color w:val="000000"/>
        </w:rPr>
        <w:t xml:space="preserve">Joint Communication to the European Parliament, the European Council, the Council, the European Economic and Social Committee and the </w:t>
      </w:r>
      <w:r>
        <w:rPr>
          <w:color w:val="000000"/>
        </w:rPr>
        <w:t>Committee of the Regions on the European Preparedness Union Strategy</w:t>
      </w:r>
    </w:p>
  </w:footnote>
  <w:footnote w:id="44">
    <w:p w14:paraId="11C12514" w14:textId="77777777" w:rsidR="00D84031" w:rsidRDefault="007965BB">
      <w:pPr>
        <w:pStyle w:val="footnote1"/>
      </w:pPr>
      <w:r>
        <w:rPr>
          <w:vertAlign w:val="superscript"/>
        </w:rPr>
        <w:footnoteRef/>
      </w:r>
      <w:r>
        <w:rPr>
          <w:vertAlign w:val="superscript"/>
        </w:rPr>
        <w:tab/>
      </w:r>
      <w:r>
        <w:rPr>
          <w:color w:val="000000"/>
        </w:rPr>
        <w:t>For instance, “Guidelines for teachers and educators on tackling disinformation and promoting digital literacy through education and training”, Publications Office of the European Union, 2022,</w:t>
      </w:r>
      <w:hyperlink r:id="rId49">
        <w:r>
          <w:rPr>
            <w:b/>
            <w:color w:val="0000FF"/>
            <w:szCs w:val="20"/>
            <w:u w:val="single"/>
          </w:rPr>
          <w:t>https://data.europa.eu/doi/10.2766/28248</w:t>
        </w:r>
      </w:hyperlink>
      <w:r>
        <w:rPr>
          <w:color w:val="000000"/>
        </w:rPr>
        <w:t xml:space="preserve">; or the UNESCO’s </w:t>
      </w:r>
      <w:hyperlink r:id="rId50">
        <w:r>
          <w:rPr>
            <w:color w:val="0000FF"/>
            <w:szCs w:val="20"/>
            <w:u w:val="single"/>
          </w:rPr>
          <w:t>“Global Standards for Media and Information Literacy Curricula Development Guidelines”</w:t>
        </w:r>
      </w:hyperlink>
    </w:p>
  </w:footnote>
  <w:footnote w:id="45">
    <w:p w14:paraId="39B81D39" w14:textId="77777777" w:rsidR="00D84031" w:rsidRDefault="007965BB">
      <w:pPr>
        <w:pStyle w:val="footnote1"/>
      </w:pPr>
      <w:r>
        <w:rPr>
          <w:vertAlign w:val="superscript"/>
        </w:rPr>
        <w:footnoteRef/>
      </w:r>
      <w:r>
        <w:rPr>
          <w:vertAlign w:val="superscript"/>
        </w:rPr>
        <w:tab/>
      </w:r>
      <w:r>
        <w:rPr>
          <w:color w:val="000000"/>
        </w:rPr>
        <w:t xml:space="preserve">This </w:t>
      </w:r>
      <w:hyperlink r:id="rId5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52">
        <w:r>
          <w:rPr>
            <w:color w:val="0000FF"/>
            <w:szCs w:val="20"/>
            <w:u w:val="single"/>
          </w:rPr>
          <w:t>https://ec.europa.eu/info/funding-tenders/opportunities/docs/2021-2027/horizon/guidance/ls-decision_he_en.pdf</w:t>
        </w:r>
      </w:hyperlink>
    </w:p>
  </w:footnote>
  <w:footnote w:id="46">
    <w:p w14:paraId="6745ECF2" w14:textId="77777777" w:rsidR="00D84031" w:rsidRDefault="007965BB">
      <w:pPr>
        <w:pStyle w:val="footnote1"/>
      </w:pPr>
      <w:r>
        <w:rPr>
          <w:vertAlign w:val="superscript"/>
        </w:rPr>
        <w:footnoteRef/>
      </w:r>
      <w:r>
        <w:rPr>
          <w:vertAlign w:val="superscript"/>
        </w:rPr>
        <w:tab/>
      </w:r>
      <w:hyperlink r:id="rId53">
        <w:r>
          <w:rPr>
            <w:color w:val="0000FF"/>
            <w:szCs w:val="20"/>
            <w:u w:val="single"/>
          </w:rPr>
          <w:t>https://commission.europa.eu/strategy-and-policy/policies/justice-and-fundamental-rights/combatting-discrimination/racism-and-xenophobia/combating-hate-speech-and-hate-crime_en</w:t>
        </w:r>
      </w:hyperlink>
    </w:p>
  </w:footnote>
  <w:footnote w:id="47">
    <w:p w14:paraId="009FE692" w14:textId="77777777" w:rsidR="00D84031" w:rsidRDefault="007965BB">
      <w:pPr>
        <w:pStyle w:val="footnote1"/>
      </w:pPr>
      <w:r>
        <w:rPr>
          <w:vertAlign w:val="superscript"/>
        </w:rPr>
        <w:footnoteRef/>
      </w:r>
      <w:r>
        <w:rPr>
          <w:vertAlign w:val="superscript"/>
        </w:rPr>
        <w:tab/>
      </w:r>
      <w:r>
        <w:rPr>
          <w:color w:val="000000"/>
        </w:rPr>
        <w:t xml:space="preserve">See, for example: </w:t>
      </w:r>
      <w:hyperlink r:id="rId54">
        <w:r>
          <w:rPr>
            <w:color w:val="0000FF"/>
            <w:szCs w:val="20"/>
            <w:u w:val="single"/>
          </w:rPr>
          <w:t>https://edmo.eu/</w:t>
        </w:r>
      </w:hyperlink>
    </w:p>
  </w:footnote>
  <w:footnote w:id="48">
    <w:p w14:paraId="115D1CAC" w14:textId="77777777" w:rsidR="00D84031" w:rsidRDefault="007965BB">
      <w:pPr>
        <w:pStyle w:val="footnote1"/>
      </w:pPr>
      <w:r>
        <w:rPr>
          <w:vertAlign w:val="superscript"/>
        </w:rPr>
        <w:footnoteRef/>
      </w:r>
      <w:r>
        <w:rPr>
          <w:vertAlign w:val="superscript"/>
        </w:rPr>
        <w:tab/>
      </w:r>
      <w:hyperlink r:id="rId55">
        <w:r>
          <w:rPr>
            <w:color w:val="0000FF"/>
            <w:szCs w:val="20"/>
            <w:u w:val="single"/>
          </w:rPr>
          <w:t>https://home-affairs.ec.europa.eu/networks/eu-knowledge-hub-prevention-radicalisation_en</w:t>
        </w:r>
      </w:hyperlink>
    </w:p>
  </w:footnote>
  <w:footnote w:id="49">
    <w:p w14:paraId="3C21BDB7" w14:textId="77777777" w:rsidR="00D84031" w:rsidRDefault="007965BB">
      <w:pPr>
        <w:pStyle w:val="footnote1"/>
      </w:pPr>
      <w:r>
        <w:rPr>
          <w:vertAlign w:val="superscript"/>
        </w:rPr>
        <w:footnoteRef/>
      </w:r>
      <w:r>
        <w:rPr>
          <w:vertAlign w:val="superscript"/>
        </w:rPr>
        <w:tab/>
      </w:r>
      <w:r>
        <w:rPr>
          <w:color w:val="000000"/>
        </w:rPr>
        <w:t xml:space="preserve">This </w:t>
      </w:r>
      <w:hyperlink r:id="rId5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57">
        <w:r>
          <w:rPr>
            <w:color w:val="0000FF"/>
            <w:szCs w:val="20"/>
            <w:u w:val="single"/>
          </w:rPr>
          <w:t>https://ec.europa.eu/info/funding-tenders/opportunities/docs/2021-2027/horizon/guidance/ls-decision_he_en.pdf</w:t>
        </w:r>
      </w:hyperlink>
    </w:p>
  </w:footnote>
  <w:footnote w:id="50">
    <w:p w14:paraId="7577E28B" w14:textId="77777777" w:rsidR="00D84031" w:rsidRDefault="007965BB">
      <w:pPr>
        <w:pStyle w:val="footnote1"/>
      </w:pPr>
      <w:r>
        <w:rPr>
          <w:vertAlign w:val="superscript"/>
        </w:rPr>
        <w:footnoteRef/>
      </w:r>
      <w:r>
        <w:rPr>
          <w:vertAlign w:val="superscript"/>
        </w:rPr>
        <w:tab/>
      </w:r>
      <w:r>
        <w:rPr>
          <w:color w:val="000000"/>
        </w:rPr>
        <w:t xml:space="preserve">This </w:t>
      </w:r>
      <w:hyperlink r:id="rId5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59">
        <w:r>
          <w:rPr>
            <w:color w:val="0000FF"/>
            <w:szCs w:val="20"/>
            <w:u w:val="single"/>
          </w:rPr>
          <w:t>https://ec.europa.eu/info/funding-tenders/opportunities/docs/2021-2027/horizon/guidance/ls-decision_he_en.pdf</w:t>
        </w:r>
      </w:hyperlink>
    </w:p>
  </w:footnote>
  <w:footnote w:id="51">
    <w:p w14:paraId="133AD48D" w14:textId="77777777" w:rsidR="00D84031" w:rsidRDefault="007965BB">
      <w:pPr>
        <w:pStyle w:val="footnote1"/>
      </w:pPr>
      <w:r>
        <w:rPr>
          <w:vertAlign w:val="superscript"/>
        </w:rPr>
        <w:footnoteRef/>
      </w:r>
      <w:r>
        <w:rPr>
          <w:vertAlign w:val="superscript"/>
        </w:rPr>
        <w:tab/>
      </w:r>
      <w:r>
        <w:rPr>
          <w:color w:val="000000"/>
        </w:rPr>
        <w:t xml:space="preserve">This </w:t>
      </w:r>
      <w:hyperlink r:id="rId6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61">
        <w:r>
          <w:rPr>
            <w:color w:val="0000FF"/>
            <w:szCs w:val="20"/>
            <w:u w:val="single"/>
          </w:rPr>
          <w:t>https://ec.europa.eu/info/funding-tenders/opportunities/docs/2021-2027/horizon/guidance/ls-decision_he_en.pdf</w:t>
        </w:r>
      </w:hyperlink>
    </w:p>
  </w:footnote>
  <w:footnote w:id="52">
    <w:p w14:paraId="52F8E7FC" w14:textId="77777777" w:rsidR="00D84031" w:rsidRDefault="007965BB">
      <w:pPr>
        <w:pStyle w:val="footnote1"/>
      </w:pPr>
      <w:r>
        <w:rPr>
          <w:vertAlign w:val="superscript"/>
        </w:rPr>
        <w:footnoteRef/>
      </w:r>
      <w:r>
        <w:rPr>
          <w:vertAlign w:val="superscript"/>
        </w:rPr>
        <w:tab/>
      </w:r>
      <w:hyperlink r:id="rId62">
        <w:r>
          <w:rPr>
            <w:color w:val="0000FF"/>
            <w:szCs w:val="20"/>
            <w:u w:val="single"/>
          </w:rPr>
          <w:t>https://joint-research-centre.ec.europa.eu/projects-and-activities/innovations-public-governance_en</w:t>
        </w:r>
      </w:hyperlink>
    </w:p>
  </w:footnote>
  <w:footnote w:id="53">
    <w:p w14:paraId="31E88251" w14:textId="77777777" w:rsidR="00D84031" w:rsidRDefault="007965BB">
      <w:pPr>
        <w:pStyle w:val="footnote1"/>
      </w:pPr>
      <w:r>
        <w:rPr>
          <w:vertAlign w:val="superscript"/>
        </w:rPr>
        <w:footnoteRef/>
      </w:r>
      <w:r>
        <w:rPr>
          <w:vertAlign w:val="superscript"/>
        </w:rPr>
        <w:tab/>
      </w:r>
      <w:r>
        <w:rPr>
          <w:color w:val="000000"/>
        </w:rPr>
        <w:t xml:space="preserve">This </w:t>
      </w:r>
      <w:hyperlink r:id="rId6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64">
        <w:r>
          <w:rPr>
            <w:color w:val="0000FF"/>
            <w:szCs w:val="20"/>
            <w:u w:val="single"/>
          </w:rPr>
          <w:t>https://ec.europa.eu/info/funding-tenders/opportunities/docs/2021-2027/horizon/guidance/ls-decision_he_en.pdf</w:t>
        </w:r>
      </w:hyperlink>
    </w:p>
  </w:footnote>
  <w:footnote w:id="54">
    <w:p w14:paraId="3FDC3A1D" w14:textId="77777777" w:rsidR="00D84031" w:rsidRDefault="007965BB">
      <w:pPr>
        <w:pStyle w:val="footnote1"/>
      </w:pPr>
      <w:r>
        <w:rPr>
          <w:vertAlign w:val="superscript"/>
        </w:rPr>
        <w:footnoteRef/>
      </w:r>
      <w:r>
        <w:rPr>
          <w:vertAlign w:val="superscript"/>
        </w:rPr>
        <w:tab/>
      </w:r>
      <w:r>
        <w:rPr>
          <w:color w:val="000000"/>
        </w:rPr>
        <w:t xml:space="preserve">In the context of this call, the “EU Neighbourhood” is understood as the group of countries covered by the European Neighbourhood Policy (ENP), which includes countries to the East (Armenia, Azerbaijan, Belarus, Georgia, Moldova, and Ukraine) and to the South (Algeria, Egypt, Israel, Jordan, Lebanon, Libya, Morocco, Palestine, Syria, and Tunisia). Source: European Commission, “European Neighbourhood Policy – Overview,” </w:t>
      </w:r>
      <w:hyperlink r:id="rId65">
        <w:r>
          <w:rPr>
            <w:color w:val="0000FF"/>
            <w:szCs w:val="20"/>
            <w:u w:val="single"/>
          </w:rPr>
          <w:t>https://enlargement.ec.europa.eu/european-neighbourhood-policy_en</w:t>
        </w:r>
      </w:hyperlink>
    </w:p>
  </w:footnote>
  <w:footnote w:id="55">
    <w:p w14:paraId="7EAE3875" w14:textId="77777777" w:rsidR="00D84031" w:rsidRDefault="007965BB">
      <w:pPr>
        <w:pStyle w:val="footnote1"/>
      </w:pPr>
      <w:r>
        <w:rPr>
          <w:vertAlign w:val="superscript"/>
        </w:rPr>
        <w:footnoteRef/>
      </w:r>
      <w:r>
        <w:rPr>
          <w:vertAlign w:val="superscript"/>
        </w:rPr>
        <w:tab/>
      </w:r>
      <w:r>
        <w:rPr>
          <w:color w:val="000000"/>
        </w:rPr>
        <w:t xml:space="preserve">In the context of this call “low-income and low-middle income countries” are understood as the low to middle income non-associated third countries in the list of participating countries according to the Horizon Europe rules for participation and proposal procedure. Source: European Commission, “List of Participating Countries in Horizon Europe,” Version 5.3 (24.01.2024), p. 3. Available at: </w:t>
      </w:r>
      <w:hyperlink r:id="rId66">
        <w:r>
          <w:rPr>
            <w:color w:val="0000FF"/>
            <w:szCs w:val="20"/>
            <w:u w:val="single"/>
          </w:rPr>
          <w:t>https://ec.europa.eu/info/funding-tenders/opportunities/docs/2021-2027/common/guidance/list-3rd-country-participation_horizon-euratom_en.pdf</w:t>
        </w:r>
      </w:hyperlink>
    </w:p>
  </w:footnote>
  <w:footnote w:id="56">
    <w:p w14:paraId="7CB8DD1B" w14:textId="77777777" w:rsidR="00D84031" w:rsidRDefault="007965BB">
      <w:pPr>
        <w:pStyle w:val="footnote1"/>
      </w:pPr>
      <w:r>
        <w:rPr>
          <w:vertAlign w:val="superscript"/>
        </w:rPr>
        <w:footnoteRef/>
      </w:r>
      <w:r>
        <w:rPr>
          <w:vertAlign w:val="superscript"/>
        </w:rPr>
        <w:tab/>
      </w:r>
      <w:r>
        <w:rPr>
          <w:color w:val="000000"/>
        </w:rPr>
        <w:t xml:space="preserve">This </w:t>
      </w:r>
      <w:hyperlink r:id="rId6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68">
        <w:r>
          <w:rPr>
            <w:color w:val="0000FF"/>
            <w:szCs w:val="20"/>
            <w:u w:val="single"/>
          </w:rPr>
          <w:t>https://ec.europa.eu/info/funding-tenders/opportunities/docs/2021-2027/horizon/guidance/ls-decision_he_en.pdf</w:t>
        </w:r>
      </w:hyperlink>
    </w:p>
  </w:footnote>
  <w:footnote w:id="57">
    <w:p w14:paraId="5B0757B5" w14:textId="77777777" w:rsidR="00D84031" w:rsidRDefault="007965BB">
      <w:pPr>
        <w:pStyle w:val="footnote1"/>
      </w:pPr>
      <w:r>
        <w:rPr>
          <w:vertAlign w:val="superscript"/>
        </w:rPr>
        <w:footnoteRef/>
      </w:r>
      <w:r>
        <w:rPr>
          <w:vertAlign w:val="superscript"/>
        </w:rPr>
        <w:tab/>
      </w:r>
      <w:hyperlink r:id="rId69">
        <w:r>
          <w:rPr>
            <w:color w:val="0000FF"/>
            <w:szCs w:val="20"/>
            <w:u w:val="single"/>
          </w:rPr>
          <w:t>The European Media Industry Outlook | Shaping Europe’s digital future</w:t>
        </w:r>
      </w:hyperlink>
    </w:p>
  </w:footnote>
  <w:footnote w:id="58">
    <w:p w14:paraId="43BCA12E" w14:textId="77777777" w:rsidR="00D84031" w:rsidRDefault="007965BB">
      <w:pPr>
        <w:pStyle w:val="footnote1"/>
      </w:pPr>
      <w:r>
        <w:rPr>
          <w:vertAlign w:val="superscript"/>
        </w:rPr>
        <w:footnoteRef/>
      </w:r>
      <w:r>
        <w:rPr>
          <w:vertAlign w:val="superscript"/>
        </w:rPr>
        <w:tab/>
      </w:r>
      <w:r>
        <w:rPr>
          <w:color w:val="000000"/>
        </w:rPr>
        <w:t xml:space="preserve">This </w:t>
      </w:r>
      <w:hyperlink r:id="rId7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71">
        <w:r>
          <w:rPr>
            <w:color w:val="0000FF"/>
            <w:szCs w:val="20"/>
            <w:u w:val="single"/>
          </w:rPr>
          <w:t>https://ec.europa.eu/info/funding-tenders/opportunities/docs/2021-2027/horizon/guidance/ls-decision_he_en.pdf</w:t>
        </w:r>
      </w:hyperlink>
    </w:p>
  </w:footnote>
  <w:footnote w:id="59">
    <w:p w14:paraId="3680472A" w14:textId="77777777" w:rsidR="00D84031" w:rsidRDefault="007965BB">
      <w:pPr>
        <w:pStyle w:val="footnote1"/>
      </w:pPr>
      <w:r>
        <w:rPr>
          <w:vertAlign w:val="superscript"/>
        </w:rPr>
        <w:footnoteRef/>
      </w:r>
      <w:r>
        <w:rPr>
          <w:vertAlign w:val="superscript"/>
        </w:rPr>
        <w:tab/>
      </w:r>
      <w:r>
        <w:rPr>
          <w:color w:val="000000"/>
        </w:rPr>
        <w:t>In this context, when referring to private companies, we specifically mean large undertakings, namely multinational and global corporations, including industry and tech platforms, as opposed to small and medium-sized enterprises (SMEs).</w:t>
      </w:r>
    </w:p>
  </w:footnote>
  <w:footnote w:id="60">
    <w:p w14:paraId="7236EDD9" w14:textId="77777777" w:rsidR="00D84031" w:rsidRDefault="007965BB">
      <w:pPr>
        <w:pStyle w:val="footnote1"/>
      </w:pPr>
      <w:r>
        <w:rPr>
          <w:vertAlign w:val="superscript"/>
        </w:rPr>
        <w:footnoteRef/>
      </w:r>
      <w:r>
        <w:rPr>
          <w:vertAlign w:val="superscript"/>
        </w:rPr>
        <w:tab/>
      </w:r>
      <w:r>
        <w:rPr>
          <w:color w:val="000000"/>
        </w:rPr>
        <w:t>For instance, but not limited to: HORIZON-CL2-2023-DEMOCRACY-01-03: New approaches for combatting corruption and other undue influences on political decision-making.</w:t>
      </w:r>
    </w:p>
  </w:footnote>
  <w:footnote w:id="61">
    <w:p w14:paraId="404F84A2" w14:textId="77777777" w:rsidR="00D84031" w:rsidRDefault="007965BB">
      <w:pPr>
        <w:pStyle w:val="footnote1"/>
      </w:pPr>
      <w:r>
        <w:rPr>
          <w:vertAlign w:val="superscript"/>
        </w:rPr>
        <w:footnoteRef/>
      </w:r>
      <w:r>
        <w:rPr>
          <w:vertAlign w:val="superscript"/>
        </w:rPr>
        <w:tab/>
      </w:r>
      <w:r>
        <w:rPr>
          <w:color w:val="000000"/>
        </w:rPr>
        <w:t xml:space="preserve">This </w:t>
      </w:r>
      <w:hyperlink r:id="rId7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73">
        <w:r>
          <w:rPr>
            <w:color w:val="0000FF"/>
            <w:szCs w:val="20"/>
            <w:u w:val="single"/>
          </w:rPr>
          <w:t>https://ec.europa.eu/info/funding-tenders/opportunities/docs/2021-2027/horizon/guidance/ls-decision_he_en.pdf</w:t>
        </w:r>
      </w:hyperlink>
    </w:p>
  </w:footnote>
  <w:footnote w:id="62">
    <w:p w14:paraId="45A01CC8" w14:textId="77777777" w:rsidR="00D84031" w:rsidRDefault="007965BB">
      <w:pPr>
        <w:pStyle w:val="footnote1"/>
      </w:pPr>
      <w:r>
        <w:rPr>
          <w:vertAlign w:val="superscript"/>
        </w:rPr>
        <w:footnoteRef/>
      </w:r>
      <w:r>
        <w:rPr>
          <w:vertAlign w:val="superscript"/>
        </w:rPr>
        <w:tab/>
      </w:r>
      <w:r>
        <w:rPr>
          <w:color w:val="000000"/>
        </w:rPr>
        <w:t xml:space="preserve">In the context of this call, the “EU Neighbourhood” is understood as the group of countries covered by the European Neighbourhood Policy (ENP), which includes countries to the East (Armenia, Azerbaijan, Belarus, Georgia, Moldova, and Ukraine) and to the South (Algeria, Egypt, Israel, Jordan, Lebanon, Libya, Morocco, Palestine, Syria, and Tunisia). Source: European Commission, “European Neighbourhood Policy – Overview,” </w:t>
      </w:r>
      <w:hyperlink r:id="rId74">
        <w:r>
          <w:rPr>
            <w:color w:val="0000FF"/>
            <w:szCs w:val="20"/>
            <w:u w:val="single"/>
          </w:rPr>
          <w:t>https://enlargement.ec.europa.eu/european-neighbourhood-policy_en</w:t>
        </w:r>
      </w:hyperlink>
    </w:p>
  </w:footnote>
  <w:footnote w:id="63">
    <w:p w14:paraId="2A7D0E02" w14:textId="77777777" w:rsidR="00D84031" w:rsidRDefault="007965BB">
      <w:pPr>
        <w:pStyle w:val="footnote1"/>
      </w:pPr>
      <w:r>
        <w:rPr>
          <w:vertAlign w:val="superscript"/>
        </w:rPr>
        <w:footnoteRef/>
      </w:r>
      <w:r>
        <w:rPr>
          <w:vertAlign w:val="superscript"/>
        </w:rPr>
        <w:tab/>
      </w:r>
      <w:r>
        <w:rPr>
          <w:color w:val="000000"/>
        </w:rPr>
        <w:t xml:space="preserve">In the context of this call “low-income and low-middle income countries” are understood as the low to middle income non-associated third countries in the list of participating countries according to the Horizon Europe rules for participation and proposal procedure. Source: European Commission, “List of Participating Countries in Horizon Europe,” Version 5.3 (24.01.2024), p. 3. Available at: </w:t>
      </w:r>
      <w:hyperlink r:id="rId75">
        <w:r>
          <w:rPr>
            <w:color w:val="0000FF"/>
            <w:szCs w:val="20"/>
            <w:u w:val="single"/>
          </w:rPr>
          <w:t>https://ec.europa.eu/info/funding-tenders/opportunities/docs/2021-2027/common/guidance/list-3rd-country-participation_horizon-euratom_en.pdf</w:t>
        </w:r>
      </w:hyperlink>
    </w:p>
  </w:footnote>
  <w:footnote w:id="64">
    <w:p w14:paraId="1A8F250A" w14:textId="77777777" w:rsidR="00D84031" w:rsidRDefault="007965BB">
      <w:pPr>
        <w:pStyle w:val="footnote1"/>
      </w:pPr>
      <w:r>
        <w:rPr>
          <w:vertAlign w:val="superscript"/>
        </w:rPr>
        <w:footnoteRef/>
      </w:r>
      <w:r>
        <w:rPr>
          <w:vertAlign w:val="superscript"/>
        </w:rPr>
        <w:tab/>
      </w:r>
      <w:r>
        <w:rPr>
          <w:color w:val="000000"/>
        </w:rPr>
        <w:t xml:space="preserve">This </w:t>
      </w:r>
      <w:hyperlink r:id="rId7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77">
        <w:r>
          <w:rPr>
            <w:color w:val="0000FF"/>
            <w:szCs w:val="20"/>
            <w:u w:val="single"/>
          </w:rPr>
          <w:t>https://ec.europa.eu/info/funding-tenders/opportunities/docs/2021-2027/horizon/guidance/ls-decision_he_en.pdf</w:t>
        </w:r>
      </w:hyperlink>
    </w:p>
  </w:footnote>
  <w:footnote w:id="65">
    <w:p w14:paraId="008CC0F6" w14:textId="77777777" w:rsidR="00D84031" w:rsidRDefault="007965BB">
      <w:pPr>
        <w:pStyle w:val="footnote1"/>
      </w:pPr>
      <w:r>
        <w:rPr>
          <w:vertAlign w:val="superscript"/>
        </w:rPr>
        <w:footnoteRef/>
      </w:r>
      <w:r>
        <w:rPr>
          <w:vertAlign w:val="superscript"/>
        </w:rPr>
        <w:tab/>
      </w:r>
      <w:hyperlink r:id="rId78">
        <w:r>
          <w:rPr>
            <w:color w:val="0000FF"/>
            <w:szCs w:val="20"/>
            <w:u w:val="single"/>
          </w:rPr>
          <w:t>https://commission.europa.eu/document/download/e6cd4328-673c-4e7a-8683-f63ffb2cf648_en?filename=Political%20Guidelines%202024-2029_EN.pdf</w:t>
        </w:r>
      </w:hyperlink>
    </w:p>
  </w:footnote>
  <w:footnote w:id="66">
    <w:p w14:paraId="32D3460E" w14:textId="77777777" w:rsidR="00D84031" w:rsidRDefault="007965BB">
      <w:pPr>
        <w:pStyle w:val="footnote1"/>
      </w:pPr>
      <w:r>
        <w:rPr>
          <w:vertAlign w:val="superscript"/>
        </w:rPr>
        <w:footnoteRef/>
      </w:r>
      <w:r>
        <w:rPr>
          <w:vertAlign w:val="superscript"/>
        </w:rPr>
        <w:tab/>
      </w:r>
      <w:hyperlink r:id="rId79">
        <w:r>
          <w:rPr>
            <w:color w:val="0000FF"/>
            <w:szCs w:val="20"/>
            <w:u w:val="single"/>
          </w:rPr>
          <w:t>https://ec.europa.eu/commission/presscorner/detail/en/ip_20_2250</w:t>
        </w:r>
      </w:hyperlink>
    </w:p>
  </w:footnote>
  <w:footnote w:id="67">
    <w:p w14:paraId="6E3352C3" w14:textId="77777777" w:rsidR="00D84031" w:rsidRDefault="007965BB">
      <w:pPr>
        <w:pStyle w:val="footnote1"/>
      </w:pPr>
      <w:r>
        <w:rPr>
          <w:vertAlign w:val="superscript"/>
        </w:rPr>
        <w:footnoteRef/>
      </w:r>
      <w:r>
        <w:rPr>
          <w:vertAlign w:val="superscript"/>
        </w:rPr>
        <w:tab/>
      </w:r>
      <w:hyperlink r:id="rId80">
        <w:r>
          <w:rPr>
            <w:color w:val="0000FF"/>
            <w:szCs w:val="20"/>
            <w:u w:val="single"/>
          </w:rPr>
          <w:t>https://ec.europa.eu/commission/presscorner/detail/en/ip_23_6453</w:t>
        </w:r>
      </w:hyperlink>
    </w:p>
  </w:footnote>
  <w:footnote w:id="68">
    <w:p w14:paraId="41FAF9B7" w14:textId="77777777" w:rsidR="00D84031" w:rsidRDefault="007965BB">
      <w:pPr>
        <w:pStyle w:val="footnote1"/>
      </w:pPr>
      <w:r>
        <w:rPr>
          <w:vertAlign w:val="superscript"/>
        </w:rPr>
        <w:footnoteRef/>
      </w:r>
      <w:r>
        <w:rPr>
          <w:vertAlign w:val="superscript"/>
        </w:rPr>
        <w:tab/>
      </w:r>
      <w:r>
        <w:rPr>
          <w:color w:val="000000"/>
        </w:rPr>
        <w:t xml:space="preserve">For the roadmap for women’s rights, see the announcement of its adoption with links to the communication and its annex: </w:t>
      </w:r>
      <w:hyperlink r:id="rId81">
        <w:r>
          <w:rPr>
            <w:color w:val="0000FF"/>
            <w:szCs w:val="20"/>
            <w:u w:val="single"/>
          </w:rPr>
          <w:t>https://ec.europa.eu/commission/presscorner/detail/en/ip_25_681</w:t>
        </w:r>
      </w:hyperlink>
    </w:p>
  </w:footnote>
  <w:footnote w:id="69">
    <w:p w14:paraId="544AAEE1" w14:textId="77777777" w:rsidR="00D84031" w:rsidRDefault="007965BB">
      <w:pPr>
        <w:pStyle w:val="footnote1"/>
      </w:pPr>
      <w:r>
        <w:rPr>
          <w:vertAlign w:val="superscript"/>
        </w:rPr>
        <w:footnoteRef/>
      </w:r>
      <w:r>
        <w:rPr>
          <w:vertAlign w:val="superscript"/>
        </w:rPr>
        <w:tab/>
      </w:r>
      <w:hyperlink r:id="rId82">
        <w:r>
          <w:rPr>
            <w:color w:val="0000FF"/>
            <w:szCs w:val="20"/>
            <w:u w:val="single"/>
          </w:rPr>
          <w:t>https://eur-lex.europa.eu/legal-content/EN/TXT/?uri=celex%3A52021DC0101</w:t>
        </w:r>
      </w:hyperlink>
    </w:p>
  </w:footnote>
  <w:footnote w:id="70">
    <w:p w14:paraId="5023DFEE" w14:textId="77777777" w:rsidR="00D84031" w:rsidRDefault="007965BB">
      <w:pPr>
        <w:pStyle w:val="footnote1"/>
      </w:pPr>
      <w:r>
        <w:rPr>
          <w:vertAlign w:val="superscript"/>
        </w:rPr>
        <w:footnoteRef/>
      </w:r>
      <w:r>
        <w:rPr>
          <w:vertAlign w:val="superscript"/>
        </w:rPr>
        <w:tab/>
      </w:r>
      <w:hyperlink r:id="rId83">
        <w:r>
          <w:rPr>
            <w:color w:val="0000FF"/>
            <w:szCs w:val="20"/>
            <w:u w:val="single"/>
          </w:rPr>
          <w:t>https://www.ohchr.org/en/instruments-mechanisms/instruments/convention-rights-persons-disabilities</w:t>
        </w:r>
      </w:hyperlink>
    </w:p>
  </w:footnote>
  <w:footnote w:id="71">
    <w:p w14:paraId="0B528069" w14:textId="77777777" w:rsidR="00D84031" w:rsidRDefault="007965BB">
      <w:pPr>
        <w:pStyle w:val="footnote1"/>
      </w:pPr>
      <w:r>
        <w:rPr>
          <w:vertAlign w:val="superscript"/>
        </w:rPr>
        <w:footnoteRef/>
      </w:r>
      <w:r>
        <w:rPr>
          <w:vertAlign w:val="superscript"/>
        </w:rPr>
        <w:tab/>
      </w:r>
      <w:r>
        <w:rPr>
          <w:color w:val="000000"/>
        </w:rPr>
        <w:t xml:space="preserve">Council conclusions of 21 May 2014 on cultural heritage as a strategic resource for a sustainable Europe (2014/C 183/08) </w:t>
      </w:r>
      <w:hyperlink r:id="rId84">
        <w:r>
          <w:rPr>
            <w:color w:val="0000FF"/>
            <w:szCs w:val="20"/>
            <w:u w:val="single"/>
          </w:rPr>
          <w:t>https://eur-lex.europa.eu/legal-content/EN/TXT/PDF/?uri=CELEX:52014XG0614(08)</w:t>
        </w:r>
      </w:hyperlink>
    </w:p>
  </w:footnote>
  <w:footnote w:id="72">
    <w:p w14:paraId="7714F28A" w14:textId="77777777" w:rsidR="00D84031" w:rsidRDefault="007965BB">
      <w:pPr>
        <w:pStyle w:val="footnote1"/>
      </w:pPr>
      <w:r>
        <w:rPr>
          <w:vertAlign w:val="superscript"/>
        </w:rPr>
        <w:footnoteRef/>
      </w:r>
      <w:r>
        <w:rPr>
          <w:vertAlign w:val="superscript"/>
        </w:rPr>
        <w:tab/>
      </w:r>
      <w:hyperlink r:id="rId85">
        <w:r>
          <w:rPr>
            <w:color w:val="0000FF"/>
            <w:szCs w:val="20"/>
            <w:u w:val="single"/>
          </w:rPr>
          <w:t>CETS 199 - Council of Europe Framework Convention on the Value of Cultural Heritage for Society (coe.int)</w:t>
        </w:r>
      </w:hyperlink>
    </w:p>
  </w:footnote>
  <w:footnote w:id="73">
    <w:p w14:paraId="79A99363" w14:textId="77777777" w:rsidR="00D84031" w:rsidRDefault="007965BB">
      <w:pPr>
        <w:pStyle w:val="footnote1"/>
      </w:pPr>
      <w:r>
        <w:rPr>
          <w:vertAlign w:val="superscript"/>
        </w:rPr>
        <w:footnoteRef/>
      </w:r>
      <w:r>
        <w:rPr>
          <w:vertAlign w:val="superscript"/>
        </w:rPr>
        <w:tab/>
      </w:r>
      <w:r>
        <w:rPr>
          <w:color w:val="000000"/>
        </w:rPr>
        <w:t xml:space="preserve">This </w:t>
      </w:r>
      <w:hyperlink r:id="rId8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87">
        <w:r>
          <w:rPr>
            <w:color w:val="0000FF"/>
            <w:szCs w:val="20"/>
            <w:u w:val="single"/>
          </w:rPr>
          <w:t>https://ec.europa.eu/info/funding-tenders/opportunities/docs/2021-2027/horizon/guidance/ls-decision_he_en.pdf</w:t>
        </w:r>
      </w:hyperlink>
    </w:p>
  </w:footnote>
  <w:footnote w:id="74">
    <w:p w14:paraId="79883585" w14:textId="77777777" w:rsidR="00D84031" w:rsidRDefault="007965BB">
      <w:pPr>
        <w:pStyle w:val="footnote1"/>
      </w:pPr>
      <w:r>
        <w:rPr>
          <w:vertAlign w:val="superscript"/>
        </w:rPr>
        <w:footnoteRef/>
      </w:r>
      <w:r>
        <w:rPr>
          <w:vertAlign w:val="superscript"/>
        </w:rPr>
        <w:tab/>
      </w:r>
      <w:r>
        <w:rPr>
          <w:color w:val="000000"/>
        </w:rPr>
        <w:t xml:space="preserve">In the context of this topic, artistic intelligence can be understood as the collaborative capacity of artistic research and practice to generate and drive </w:t>
      </w:r>
      <w:r>
        <w:rPr>
          <w:color w:val="000000"/>
        </w:rPr>
        <w:t>innovation, impact, and value by integrating creativity with scientific, technological, and cultural knowledge, particularly through cross-disciplinary collaboration, as demonstrated in initiatives such as STARTS and SciArt. Proposals can critically explore and develop the definition.</w:t>
      </w:r>
    </w:p>
  </w:footnote>
  <w:footnote w:id="75">
    <w:p w14:paraId="797A398E" w14:textId="77777777" w:rsidR="00D84031" w:rsidRDefault="007965BB">
      <w:pPr>
        <w:pStyle w:val="footnote1"/>
      </w:pPr>
      <w:r>
        <w:rPr>
          <w:vertAlign w:val="superscript"/>
        </w:rPr>
        <w:footnoteRef/>
      </w:r>
      <w:r>
        <w:rPr>
          <w:vertAlign w:val="superscript"/>
        </w:rPr>
        <w:tab/>
      </w:r>
      <w:r>
        <w:rPr>
          <w:color w:val="000000"/>
        </w:rPr>
        <w:t>M. Draghi (2024), The future of European competitiveness. Part B: In-depth analysis and recommendations, p. 258, 272.</w:t>
      </w:r>
    </w:p>
  </w:footnote>
  <w:footnote w:id="76">
    <w:p w14:paraId="60FF01BB" w14:textId="77777777" w:rsidR="00D84031" w:rsidRDefault="007965BB">
      <w:pPr>
        <w:pStyle w:val="footnote1"/>
      </w:pPr>
      <w:r>
        <w:rPr>
          <w:vertAlign w:val="superscript"/>
        </w:rPr>
        <w:footnoteRef/>
      </w:r>
      <w:r>
        <w:rPr>
          <w:vertAlign w:val="superscript"/>
        </w:rPr>
        <w:tab/>
      </w:r>
      <w:r>
        <w:rPr>
          <w:color w:val="000000"/>
        </w:rPr>
        <w:t xml:space="preserve">This </w:t>
      </w:r>
      <w:hyperlink r:id="rId8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89">
        <w:r>
          <w:rPr>
            <w:color w:val="0000FF"/>
            <w:szCs w:val="20"/>
            <w:u w:val="single"/>
          </w:rPr>
          <w:t>https://ec.europa.eu/info/funding-tenders/opportunities/docs/2021-2027/horizon/guidance/ls-decision_he_en.pdf</w:t>
        </w:r>
      </w:hyperlink>
    </w:p>
  </w:footnote>
  <w:footnote w:id="77">
    <w:p w14:paraId="31F25A98" w14:textId="77777777" w:rsidR="00D84031" w:rsidRDefault="007965BB">
      <w:pPr>
        <w:pStyle w:val="footnote1"/>
      </w:pPr>
      <w:r>
        <w:rPr>
          <w:vertAlign w:val="superscript"/>
        </w:rPr>
        <w:footnoteRef/>
      </w:r>
      <w:r>
        <w:rPr>
          <w:vertAlign w:val="superscript"/>
        </w:rPr>
        <w:tab/>
      </w:r>
      <w:r>
        <w:rPr>
          <w:color w:val="000000"/>
        </w:rPr>
        <w:t>In the context of this topic, a ‘creative startup’ should be understood as a private company that falls under the definition of cultural and creative industries as defined in the European Parliament Resolution ‘A coherent EU policy for cultural and creative industries’ (</w:t>
      </w:r>
      <w:hyperlink r:id="rId90">
        <w:r>
          <w:rPr>
            <w:color w:val="0000FF"/>
            <w:szCs w:val="20"/>
            <w:u w:val="single"/>
          </w:rPr>
          <w:t>https://eur-lex.europa.eu/legal-content/EN/TXT/PDF/?uri=CELEX:52016IP0486&amp;from=EN</w:t>
        </w:r>
      </w:hyperlink>
      <w:r>
        <w:rPr>
          <w:color w:val="000000"/>
        </w:rPr>
        <w:t>), is younger than ten years and has an innovative product and/or service and/or business model that it aims to scale up.</w:t>
      </w:r>
    </w:p>
  </w:footnote>
  <w:footnote w:id="78">
    <w:p w14:paraId="398A5621" w14:textId="77777777" w:rsidR="00D84031" w:rsidRDefault="007965BB">
      <w:pPr>
        <w:pStyle w:val="footnote1"/>
      </w:pPr>
      <w:r>
        <w:rPr>
          <w:vertAlign w:val="superscript"/>
        </w:rPr>
        <w:footnoteRef/>
      </w:r>
      <w:r>
        <w:rPr>
          <w:vertAlign w:val="superscript"/>
        </w:rPr>
        <w:tab/>
      </w:r>
      <w:r>
        <w:rPr>
          <w:color w:val="000000"/>
        </w:rPr>
        <w:t>In the context of this topic, ‘disruptive innovation’ should be understood in the sense used by the European Innovation Council, but with no requirement to be based on deep tech; as an innovation which radically changes the way of operation (‘of doing things’), and therefore creates new market(s) or has a significant impact on current markets, on economic activity of firms and/or on the public sector or society at large.</w:t>
      </w:r>
    </w:p>
  </w:footnote>
  <w:footnote w:id="79">
    <w:p w14:paraId="0B1712D2" w14:textId="77777777" w:rsidR="00D84031" w:rsidRDefault="007965BB">
      <w:pPr>
        <w:pStyle w:val="footnote1"/>
      </w:pPr>
      <w:r>
        <w:rPr>
          <w:vertAlign w:val="superscript"/>
        </w:rPr>
        <w:footnoteRef/>
      </w:r>
      <w:r>
        <w:rPr>
          <w:vertAlign w:val="superscript"/>
        </w:rPr>
        <w:tab/>
      </w:r>
      <w:r>
        <w:rPr>
          <w:color w:val="000000"/>
        </w:rPr>
        <w:t>The definition of scaleups by the Organisation for Economic Co-operation and Development (OECD) requires that a company grows at an annual rate of 20% or more over three consecutive years in terms of number of employees or turnover. In the context of this call topic, such growth rate in one year / 2 consecutive years is sufficient.</w:t>
      </w:r>
    </w:p>
  </w:footnote>
  <w:footnote w:id="80">
    <w:p w14:paraId="0F39CC2C" w14:textId="77777777" w:rsidR="00D84031" w:rsidRDefault="007965BB">
      <w:pPr>
        <w:pStyle w:val="footnote1"/>
      </w:pPr>
      <w:r>
        <w:rPr>
          <w:vertAlign w:val="superscript"/>
        </w:rPr>
        <w:footnoteRef/>
      </w:r>
      <w:r>
        <w:rPr>
          <w:vertAlign w:val="superscript"/>
        </w:rPr>
        <w:tab/>
      </w:r>
      <w:r>
        <w:rPr>
          <w:color w:val="000000"/>
        </w:rPr>
        <w:t xml:space="preserve">SWD(2024) 77 final </w:t>
      </w:r>
      <w:hyperlink r:id="rId91">
        <w:r>
          <w:rPr>
            <w:color w:val="0000FF"/>
            <w:szCs w:val="20"/>
            <w:u w:val="single"/>
          </w:rPr>
          <w:t>https://eur-lex.europa.eu/legal-content/EN/TXT/?uri=CELEX%3A52024SC0077</w:t>
        </w:r>
      </w:hyperlink>
    </w:p>
  </w:footnote>
  <w:footnote w:id="81">
    <w:p w14:paraId="375A6B35" w14:textId="77777777" w:rsidR="00D84031" w:rsidRDefault="007965BB">
      <w:pPr>
        <w:pStyle w:val="footnote1"/>
      </w:pPr>
      <w:r>
        <w:rPr>
          <w:vertAlign w:val="superscript"/>
        </w:rPr>
        <w:footnoteRef/>
      </w:r>
      <w:r>
        <w:rPr>
          <w:vertAlign w:val="superscript"/>
        </w:rPr>
        <w:tab/>
      </w:r>
      <w:r>
        <w:rPr>
          <w:color w:val="000000"/>
        </w:rPr>
        <w:t xml:space="preserve">E.g. the </w:t>
      </w:r>
      <w:hyperlink r:id="rId92">
        <w:r>
          <w:rPr>
            <w:color w:val="0000FF"/>
            <w:szCs w:val="20"/>
            <w:u w:val="single"/>
          </w:rPr>
          <w:t>EIT Culture &amp; Creativity KIC</w:t>
        </w:r>
      </w:hyperlink>
      <w:r>
        <w:rPr>
          <w:color w:val="000000"/>
        </w:rPr>
        <w:t xml:space="preserve"> , </w:t>
      </w:r>
      <w:hyperlink r:id="rId93">
        <w:r>
          <w:rPr>
            <w:color w:val="0000FF"/>
            <w:szCs w:val="20"/>
            <w:u w:val="single"/>
          </w:rPr>
          <w:t>Cultural and Creative Regional Ecosystems</w:t>
        </w:r>
      </w:hyperlink>
      <w:r>
        <w:rPr>
          <w:color w:val="000000"/>
        </w:rPr>
        <w:t xml:space="preserve"> , </w:t>
      </w:r>
      <w:hyperlink r:id="rId94">
        <w:r>
          <w:rPr>
            <w:color w:val="0000FF"/>
            <w:szCs w:val="20"/>
            <w:u w:val="single"/>
          </w:rPr>
          <w:t>Digital Innovation Hubs in the cultural and creative sectors</w:t>
        </w:r>
      </w:hyperlink>
      <w:r>
        <w:rPr>
          <w:color w:val="000000"/>
        </w:rPr>
        <w:t xml:space="preserve"> , </w:t>
      </w:r>
      <w:hyperlink r:id="rId95">
        <w:r>
          <w:rPr>
            <w:color w:val="0000FF"/>
            <w:szCs w:val="20"/>
            <w:u w:val="single"/>
          </w:rPr>
          <w:t>Creative Innovation Labs</w:t>
        </w:r>
      </w:hyperlink>
    </w:p>
  </w:footnote>
  <w:footnote w:id="82">
    <w:p w14:paraId="22CFA513" w14:textId="77777777" w:rsidR="00D84031" w:rsidRDefault="007965BB">
      <w:pPr>
        <w:pStyle w:val="footnote1"/>
      </w:pPr>
      <w:r>
        <w:rPr>
          <w:vertAlign w:val="superscript"/>
        </w:rPr>
        <w:footnoteRef/>
      </w:r>
      <w:r>
        <w:rPr>
          <w:vertAlign w:val="superscript"/>
        </w:rPr>
        <w:tab/>
      </w:r>
      <w:r>
        <w:rPr>
          <w:color w:val="000000"/>
        </w:rPr>
        <w:t xml:space="preserve">See further COM(2025) 270 </w:t>
      </w:r>
      <w:hyperlink r:id="rId96">
        <w:r>
          <w:rPr>
            <w:color w:val="0000FF"/>
            <w:szCs w:val="20"/>
            <w:u w:val="single"/>
          </w:rPr>
          <w:t>https://research-and-innovation.ec.europa.eu/document/download/2f76a0df-b09b-47c2-949c-800c30e4c530_en</w:t>
        </w:r>
      </w:hyperlink>
    </w:p>
  </w:footnote>
  <w:footnote w:id="83">
    <w:p w14:paraId="12FC950F" w14:textId="77777777" w:rsidR="00D84031" w:rsidRDefault="007965BB">
      <w:pPr>
        <w:pStyle w:val="footnote1"/>
      </w:pPr>
      <w:r>
        <w:rPr>
          <w:vertAlign w:val="superscript"/>
        </w:rPr>
        <w:footnoteRef/>
      </w:r>
      <w:r>
        <w:rPr>
          <w:vertAlign w:val="superscript"/>
        </w:rPr>
        <w:tab/>
      </w:r>
      <w:r>
        <w:rPr>
          <w:color w:val="000000"/>
        </w:rPr>
        <w:t xml:space="preserve">For instance, </w:t>
      </w:r>
      <w:hyperlink r:id="rId97">
        <w:r>
          <w:rPr>
            <w:color w:val="0000FF"/>
            <w:szCs w:val="20"/>
            <w:u w:val="single"/>
          </w:rPr>
          <w:t>https://cordis.europa.eu/project/id/101112111</w:t>
        </w:r>
      </w:hyperlink>
    </w:p>
  </w:footnote>
  <w:footnote w:id="84">
    <w:p w14:paraId="7EEF1B0A" w14:textId="77777777" w:rsidR="00D84031" w:rsidRDefault="007965BB">
      <w:pPr>
        <w:pStyle w:val="footnote1"/>
      </w:pPr>
      <w:r>
        <w:rPr>
          <w:vertAlign w:val="superscript"/>
        </w:rPr>
        <w:footnoteRef/>
      </w:r>
      <w:r>
        <w:rPr>
          <w:vertAlign w:val="superscript"/>
        </w:rPr>
        <w:tab/>
      </w:r>
      <w:hyperlink r:id="rId98">
        <w:r>
          <w:rPr>
            <w:color w:val="0000FF"/>
            <w:szCs w:val="20"/>
            <w:u w:val="single"/>
          </w:rPr>
          <w:t>https://eit-culture-creativity.eu/</w:t>
        </w:r>
      </w:hyperlink>
    </w:p>
  </w:footnote>
  <w:footnote w:id="85">
    <w:p w14:paraId="35ED507C" w14:textId="77777777" w:rsidR="00D84031" w:rsidRDefault="007965BB">
      <w:pPr>
        <w:pStyle w:val="footnote1"/>
      </w:pPr>
      <w:r>
        <w:rPr>
          <w:vertAlign w:val="superscript"/>
        </w:rPr>
        <w:footnoteRef/>
      </w:r>
      <w:r>
        <w:rPr>
          <w:vertAlign w:val="superscript"/>
        </w:rPr>
        <w:tab/>
      </w:r>
      <w:r>
        <w:rPr>
          <w:color w:val="000000"/>
        </w:rPr>
        <w:t xml:space="preserve">Such as for instance </w:t>
      </w:r>
      <w:hyperlink r:id="rId99">
        <w:r>
          <w:rPr>
            <w:color w:val="0000FF"/>
            <w:szCs w:val="20"/>
            <w:u w:val="single"/>
          </w:rPr>
          <w:t>https://eic.ec.europa.eu/eic-fund/trusted-investors-network_en</w:t>
        </w:r>
      </w:hyperlink>
    </w:p>
  </w:footnote>
  <w:footnote w:id="86">
    <w:p w14:paraId="6C3576A4" w14:textId="77777777" w:rsidR="00D84031" w:rsidRDefault="007965BB">
      <w:pPr>
        <w:pStyle w:val="footnote1"/>
      </w:pPr>
      <w:r>
        <w:rPr>
          <w:vertAlign w:val="superscript"/>
        </w:rPr>
        <w:footnoteRef/>
      </w:r>
      <w:r>
        <w:rPr>
          <w:vertAlign w:val="superscript"/>
        </w:rPr>
        <w:tab/>
      </w:r>
      <w:r>
        <w:rPr>
          <w:color w:val="000000"/>
        </w:rPr>
        <w:t xml:space="preserve">This </w:t>
      </w:r>
      <w:hyperlink r:id="rId10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01">
        <w:r>
          <w:rPr>
            <w:color w:val="0000FF"/>
            <w:szCs w:val="20"/>
            <w:u w:val="single"/>
          </w:rPr>
          <w:t>https://ec.europa.eu/info/funding-tenders/opportunities/docs/2021-2027/horizon/guidance/ls-decision_he_en.pdf</w:t>
        </w:r>
      </w:hyperlink>
    </w:p>
  </w:footnote>
  <w:footnote w:id="87">
    <w:p w14:paraId="5A156A5C" w14:textId="77777777" w:rsidR="00D84031" w:rsidRDefault="007965BB">
      <w:pPr>
        <w:pStyle w:val="footnote1"/>
      </w:pPr>
      <w:r>
        <w:rPr>
          <w:vertAlign w:val="superscript"/>
        </w:rPr>
        <w:footnoteRef/>
      </w:r>
      <w:r>
        <w:rPr>
          <w:vertAlign w:val="superscript"/>
        </w:rPr>
        <w:tab/>
      </w:r>
      <w:r>
        <w:rPr>
          <w:color w:val="000000"/>
        </w:rPr>
        <w:t>“CCSI relate to all sectors and industries whose activities are based on cultural values, cultural diversity and individual and/or collective artistic and other creative expressions, whether those activities are market or non-market oriented, whatever the type of structure that carries them out, and irrespective of how that structure is financed. Those activities include the development of skills and talent with the potential to generate innovation, the creation of wealth and jobs through the production of</w:t>
      </w:r>
      <w:r>
        <w:rPr>
          <w:color w:val="000000"/>
        </w:rPr>
        <w:t xml:space="preserve"> social and economic value, including from intellectual property management. Those activities relate also to the development, the production, the creation, the dissemination and the preservation of goods and services which embody cultural, artistic or other creative expressions, as well as related function</w:t>
      </w:r>
      <w:r>
        <w:rPr>
          <w:b/>
          <w:color w:val="000000"/>
        </w:rPr>
        <w:t>s</w:t>
      </w:r>
      <w:r>
        <w:rPr>
          <w:color w:val="000000"/>
        </w:rPr>
        <w:t xml:space="preserve"> such as education and management. The cultural and creative sectors include, inter alia, architecture, archives, the arts, libraries and museums, artistic crafts, audiovisual (including film, television,</w:t>
      </w:r>
      <w:r>
        <w:rPr>
          <w:color w:val="000000"/>
        </w:rPr>
        <w:t xml:space="preserve"> software, video games, multimedia and recorded music), tangible and intangible cultural heritage, design, creativity-driven high-end industries and fashion, festivals, music, literature, performing arts (including theatre and dance), books and publishing (newspapers and magazines), radio and visual arts, and advertising” Decision (EU) 2021/820 of 20 May 2021 on the Strategic Innovation Agenda of the European Institute of Innovation and Technology (EIT) 2021-2027: Boosting the Innovation Talent and Capacity</w:t>
      </w:r>
      <w:r>
        <w:rPr>
          <w:color w:val="000000"/>
        </w:rPr>
        <w:t xml:space="preserve"> of Europe and repealing Decision No 1312/2013/EU, Appendix I, footnote nr. 26.</w:t>
      </w:r>
    </w:p>
  </w:footnote>
  <w:footnote w:id="88">
    <w:p w14:paraId="029E4423" w14:textId="77777777" w:rsidR="00D84031" w:rsidRDefault="007965BB">
      <w:pPr>
        <w:pStyle w:val="footnote1"/>
      </w:pPr>
      <w:r>
        <w:rPr>
          <w:vertAlign w:val="superscript"/>
        </w:rPr>
        <w:footnoteRef/>
      </w:r>
      <w:r>
        <w:rPr>
          <w:vertAlign w:val="superscript"/>
        </w:rPr>
        <w:tab/>
      </w:r>
      <w:r>
        <w:rPr>
          <w:color w:val="000000"/>
        </w:rPr>
        <w:t xml:space="preserve">Communication from the Commission to the European Parliament, the Council, the European Economic and Social Committee and the Committee of the Regions” AI Continent Action Plan” COM (2025) 165 final </w:t>
      </w:r>
      <w:hyperlink r:id="rId102">
        <w:r>
          <w:rPr>
            <w:color w:val="0000FF"/>
            <w:szCs w:val="20"/>
            <w:u w:val="single"/>
          </w:rPr>
          <w:t>https://digital-strategy.ec.europa.eu/en/library/ai-continent-action-plan</w:t>
        </w:r>
      </w:hyperlink>
      <w:r>
        <w:rPr>
          <w:color w:val="000000"/>
        </w:rPr>
        <w:t>. Under the umbrella of the AI Continent Action Plan, the Apply AI strategy aims at boosting the use of AI in EU strategic industries, including the cultural and creative sectors. The AI Continent Action Plan also announces the preparation of a dedicated AI strategy for the cultural and creative sectors focused on ensuring that AI enables and reinforces human creativity and that it contributes to safeguarding European cultural and linguistic diversity.</w:t>
      </w:r>
    </w:p>
  </w:footnote>
  <w:footnote w:id="89">
    <w:p w14:paraId="0CA897BC" w14:textId="77777777" w:rsidR="00D84031" w:rsidRDefault="007965BB">
      <w:pPr>
        <w:pStyle w:val="footnote1"/>
      </w:pPr>
      <w:r>
        <w:rPr>
          <w:vertAlign w:val="superscript"/>
        </w:rPr>
        <w:footnoteRef/>
      </w:r>
      <w:r>
        <w:rPr>
          <w:vertAlign w:val="superscript"/>
        </w:rPr>
        <w:tab/>
      </w:r>
      <w:r>
        <w:rPr>
          <w:color w:val="000000"/>
        </w:rPr>
        <w:t xml:space="preserve">This </w:t>
      </w:r>
      <w:hyperlink r:id="rId10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04">
        <w:r>
          <w:rPr>
            <w:color w:val="0000FF"/>
            <w:szCs w:val="20"/>
            <w:u w:val="single"/>
          </w:rPr>
          <w:t>https://ec.europa.eu/info/funding-tenders/opportunities/docs/2021-2027/horizon/guidance/ls-decision_he_en.pdf</w:t>
        </w:r>
      </w:hyperlink>
    </w:p>
  </w:footnote>
  <w:footnote w:id="90">
    <w:p w14:paraId="3AD1B06F" w14:textId="77777777" w:rsidR="00D84031" w:rsidRDefault="007965BB">
      <w:pPr>
        <w:pStyle w:val="footnote1"/>
      </w:pPr>
      <w:r>
        <w:rPr>
          <w:vertAlign w:val="superscript"/>
        </w:rPr>
        <w:footnoteRef/>
      </w:r>
      <w:r>
        <w:rPr>
          <w:vertAlign w:val="superscript"/>
        </w:rPr>
        <w:tab/>
      </w:r>
      <w:r>
        <w:rPr>
          <w:color w:val="000000"/>
        </w:rPr>
        <w:t xml:space="preserve">See, among others, </w:t>
      </w:r>
      <w:hyperlink r:id="rId105">
        <w:r>
          <w:rPr>
            <w:color w:val="0000FF"/>
            <w:szCs w:val="20"/>
            <w:u w:val="single"/>
          </w:rPr>
          <w:t>JRC’s</w:t>
        </w:r>
      </w:hyperlink>
      <w:hyperlink r:id="rId106">
        <w:r>
          <w:rPr>
            <w:i/>
            <w:color w:val="0000FF"/>
            <w:szCs w:val="20"/>
            <w:u w:val="single"/>
          </w:rPr>
          <w:t>Generative AI Outlook Report - Exploring the Intersection of Technology, Society and Policy</w:t>
        </w:r>
      </w:hyperlink>
      <w:hyperlink r:id="rId107">
        <w:r>
          <w:rPr>
            <w:color w:val="0000FF"/>
            <w:szCs w:val="20"/>
            <w:u w:val="single"/>
          </w:rPr>
          <w:t>,2025.</w:t>
        </w:r>
      </w:hyperlink>
    </w:p>
  </w:footnote>
  <w:footnote w:id="91">
    <w:p w14:paraId="196A7872" w14:textId="77777777" w:rsidR="00D84031" w:rsidRDefault="007965BB">
      <w:pPr>
        <w:pStyle w:val="footnote1"/>
      </w:pPr>
      <w:r>
        <w:rPr>
          <w:vertAlign w:val="superscript"/>
        </w:rPr>
        <w:footnoteRef/>
      </w:r>
      <w:r>
        <w:rPr>
          <w:vertAlign w:val="superscript"/>
        </w:rPr>
        <w:tab/>
      </w:r>
      <w:r>
        <w:rPr>
          <w:color w:val="000000"/>
        </w:rPr>
        <w:t xml:space="preserve">Communication from the Commission to the European Parliament, the Council, the European Economic and Social Committee and the Committee of the Regions” AI Continent Action Plan” COM (2025) 165 final </w:t>
      </w:r>
      <w:hyperlink r:id="rId108">
        <w:r>
          <w:rPr>
            <w:color w:val="0000FF"/>
            <w:szCs w:val="20"/>
            <w:u w:val="single"/>
          </w:rPr>
          <w:t>https://digital-strategy.ec.europa.eu/en/library/ai-continent-action-plan</w:t>
        </w:r>
      </w:hyperlink>
      <w:r>
        <w:rPr>
          <w:color w:val="000000"/>
        </w:rPr>
        <w:t>. Under the umbrella of the AI Continent Action Plan, the Apply AI strategy aims at boosting the use of AI in EU strategic industries, including the Cultural and Creative Sectors. The aAI Continent Action Plan also announces the preparation of a dedicated AI strategy for the cultural and creative sectors focused on ensuring that AI enables and reinforces human creativity and that it contributes to safeguarding European cultural and linguistic diversity.</w:t>
      </w:r>
    </w:p>
  </w:footnote>
  <w:footnote w:id="92">
    <w:p w14:paraId="249B67B6" w14:textId="77777777" w:rsidR="00D84031" w:rsidRDefault="007965BB">
      <w:pPr>
        <w:pStyle w:val="footnote1"/>
      </w:pPr>
      <w:r>
        <w:rPr>
          <w:vertAlign w:val="superscript"/>
        </w:rPr>
        <w:footnoteRef/>
      </w:r>
      <w:r>
        <w:rPr>
          <w:vertAlign w:val="superscript"/>
        </w:rPr>
        <w:tab/>
      </w:r>
      <w:r>
        <w:rPr>
          <w:color w:val="000000"/>
        </w:rPr>
        <w:t xml:space="preserve">This </w:t>
      </w:r>
      <w:hyperlink r:id="rId10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0">
        <w:r>
          <w:rPr>
            <w:color w:val="0000FF"/>
            <w:szCs w:val="20"/>
            <w:u w:val="single"/>
          </w:rPr>
          <w:t>https://ec.europa.eu/info/funding-tenders/opportunities/docs/2021-2027/horizon/guidance/ls-decision_he_en.pdf</w:t>
        </w:r>
      </w:hyperlink>
    </w:p>
  </w:footnote>
  <w:footnote w:id="93">
    <w:p w14:paraId="78E670BA" w14:textId="77777777" w:rsidR="00D84031" w:rsidRDefault="007965BB">
      <w:pPr>
        <w:pStyle w:val="footnote1"/>
      </w:pPr>
      <w:r>
        <w:rPr>
          <w:vertAlign w:val="superscript"/>
        </w:rPr>
        <w:footnoteRef/>
      </w:r>
      <w:r>
        <w:rPr>
          <w:vertAlign w:val="superscript"/>
        </w:rPr>
        <w:tab/>
      </w:r>
      <w:r>
        <w:rPr>
          <w:color w:val="000000"/>
        </w:rPr>
        <w:t xml:space="preserve">Among others: </w:t>
      </w:r>
      <w:r>
        <w:rPr>
          <w:i/>
          <w:color w:val="000000"/>
        </w:rPr>
        <w:t>Cultural Relations Platform</w:t>
      </w:r>
      <w:r>
        <w:rPr>
          <w:color w:val="000000"/>
        </w:rPr>
        <w:t xml:space="preserve">, connecting cultural practitioners worldwide; </w:t>
      </w:r>
      <w:hyperlink r:id="rId111">
        <w:r>
          <w:rPr>
            <w:color w:val="0000FF"/>
            <w:szCs w:val="20"/>
            <w:u w:val="single"/>
          </w:rPr>
          <w:t>S+T+Arts4Africa</w:t>
        </w:r>
      </w:hyperlink>
      <w:r>
        <w:rPr>
          <w:color w:val="000000"/>
        </w:rPr>
        <w:t xml:space="preserve"> digital innovation in African sub-Saharan culture and digital innovation hubs; </w:t>
      </w:r>
      <w:r>
        <w:rPr>
          <w:i/>
          <w:color w:val="000000"/>
        </w:rPr>
        <w:t>Africa-Europe Partnerships for Culture</w:t>
      </w:r>
      <w:r>
        <w:rPr>
          <w:color w:val="000000"/>
        </w:rPr>
        <w:t xml:space="preserve">, focusing on artistic co-creation and cooperation; </w:t>
      </w:r>
      <w:r>
        <w:rPr>
          <w:i/>
          <w:color w:val="000000"/>
        </w:rPr>
        <w:t>European Spaces of Culture:</w:t>
      </w:r>
      <w:r>
        <w:rPr>
          <w:color w:val="000000"/>
        </w:rPr>
        <w:t xml:space="preserve"> innovative collaboration models in cultural relations between EU and extra-EU local partner organisations; </w:t>
      </w:r>
      <w:r>
        <w:rPr>
          <w:i/>
          <w:color w:val="000000"/>
        </w:rPr>
        <w:t>Creative Africa: Audiovisual</w:t>
      </w:r>
      <w:r>
        <w:rPr>
          <w:color w:val="000000"/>
        </w:rPr>
        <w:t xml:space="preserve"> for cross-border cooperation in the audio-visual sector across the entire value chain; </w:t>
      </w:r>
      <w:r>
        <w:rPr>
          <w:i/>
          <w:color w:val="000000"/>
        </w:rPr>
        <w:t>Strengthening African-European Museum Partnerships:</w:t>
      </w:r>
      <w:r>
        <w:rPr>
          <w:color w:val="000000"/>
        </w:rPr>
        <w:t xml:space="preserve"> an African-European museums platform to</w:t>
      </w:r>
      <w:r>
        <w:rPr>
          <w:color w:val="000000"/>
        </w:rPr>
        <w:t xml:space="preserve"> develop a new multilateral framework based on co-creation; </w:t>
      </w:r>
      <w:r>
        <w:rPr>
          <w:i/>
          <w:color w:val="000000"/>
        </w:rPr>
        <w:t>CreatiFI:</w:t>
      </w:r>
      <w:r>
        <w:rPr>
          <w:color w:val="000000"/>
        </w:rPr>
        <w:t xml:space="preserve"> Financial instrument to support creative industries; </w:t>
      </w:r>
      <w:r>
        <w:rPr>
          <w:i/>
          <w:color w:val="000000"/>
        </w:rPr>
        <w:t>ACP-EU Culture:</w:t>
      </w:r>
      <w:r>
        <w:rPr>
          <w:color w:val="000000"/>
        </w:rPr>
        <w:t xml:space="preserve"> assist the socio-economic development of the ACP countries by supporting their cultural and creative sectors; </w:t>
      </w:r>
      <w:r>
        <w:rPr>
          <w:i/>
          <w:color w:val="000000"/>
        </w:rPr>
        <w:t>ProCultura:</w:t>
      </w:r>
      <w:r>
        <w:rPr>
          <w:color w:val="000000"/>
        </w:rPr>
        <w:t xml:space="preserve"> contribute to the increase of employment and income-generating activities in the cultural and creative sector of the Portuguese-speaking African countries and East Timor; </w:t>
      </w:r>
      <w:r>
        <w:rPr>
          <w:i/>
          <w:color w:val="000000"/>
        </w:rPr>
        <w:t>EU-UNESCO Facility</w:t>
      </w:r>
      <w:r>
        <w:rPr>
          <w:color w:val="000000"/>
        </w:rPr>
        <w:t xml:space="preserve">: technical assistance to support cultural policy strengthening and the implementation of the UNESCO 2030 Culture Indicators, the framework to measure and assess culture’s contribution to sustainable </w:t>
      </w:r>
      <w:r>
        <w:rPr>
          <w:color w:val="000000"/>
        </w:rPr>
        <w:t xml:space="preserve">development; </w:t>
      </w:r>
      <w:r>
        <w:rPr>
          <w:i/>
          <w:color w:val="000000"/>
        </w:rPr>
        <w:t xml:space="preserve">Transcultura: </w:t>
      </w:r>
      <w:r>
        <w:rPr>
          <w:color w:val="000000"/>
        </w:rPr>
        <w:t>deepen integration within the Caribbean region and strengthening people-to-people cooperation with the European Union.</w:t>
      </w:r>
    </w:p>
  </w:footnote>
  <w:footnote w:id="94">
    <w:p w14:paraId="3B7F97F1" w14:textId="77777777" w:rsidR="00D84031" w:rsidRDefault="007965BB">
      <w:pPr>
        <w:pStyle w:val="footnote1"/>
      </w:pPr>
      <w:r>
        <w:rPr>
          <w:vertAlign w:val="superscript"/>
        </w:rPr>
        <w:footnoteRef/>
      </w:r>
      <w:r>
        <w:rPr>
          <w:vertAlign w:val="superscript"/>
        </w:rPr>
        <w:tab/>
      </w:r>
      <w:r>
        <w:rPr>
          <w:color w:val="000000"/>
        </w:rPr>
        <w:t xml:space="preserve">This </w:t>
      </w:r>
      <w:hyperlink r:id="rId11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3">
        <w:r>
          <w:rPr>
            <w:color w:val="0000FF"/>
            <w:szCs w:val="20"/>
            <w:u w:val="single"/>
          </w:rPr>
          <w:t>https://ec.europa.eu/info/funding-tenders/opportunities/docs/2021-2027/horizon/guidance/ls-decision_he_en.pdf</w:t>
        </w:r>
      </w:hyperlink>
    </w:p>
  </w:footnote>
  <w:footnote w:id="95">
    <w:p w14:paraId="28F4C282" w14:textId="77777777" w:rsidR="00D84031" w:rsidRDefault="007965BB">
      <w:pPr>
        <w:pStyle w:val="footnote1"/>
      </w:pPr>
      <w:r>
        <w:rPr>
          <w:vertAlign w:val="superscript"/>
        </w:rPr>
        <w:footnoteRef/>
      </w:r>
      <w:r>
        <w:rPr>
          <w:vertAlign w:val="superscript"/>
        </w:rPr>
        <w:tab/>
      </w:r>
      <w:r>
        <w:rPr>
          <w:color w:val="000000"/>
        </w:rPr>
        <w:t>Building i.a. on the European Language Equality (ELE) project reports analysing the linguistic landscape of Europe, providing insights into the availability and quality of digital tools and resources for various European languages.</w:t>
      </w:r>
    </w:p>
  </w:footnote>
  <w:footnote w:id="96">
    <w:p w14:paraId="50D6B36B" w14:textId="77777777" w:rsidR="00D84031" w:rsidRDefault="007965BB">
      <w:pPr>
        <w:pStyle w:val="footnote1"/>
      </w:pPr>
      <w:r>
        <w:rPr>
          <w:vertAlign w:val="superscript"/>
        </w:rPr>
        <w:footnoteRef/>
      </w:r>
      <w:r>
        <w:rPr>
          <w:vertAlign w:val="superscript"/>
        </w:rPr>
        <w:tab/>
      </w:r>
      <w:hyperlink r:id="rId114">
        <w:r>
          <w:rPr>
            <w:color w:val="0000FF"/>
            <w:szCs w:val="20"/>
            <w:u w:val="single"/>
          </w:rPr>
          <w:t>ALT-EDIC - European Commission</w:t>
        </w:r>
      </w:hyperlink>
    </w:p>
  </w:footnote>
  <w:footnote w:id="97">
    <w:p w14:paraId="57ADE091" w14:textId="77777777" w:rsidR="00D84031" w:rsidRDefault="007965BB">
      <w:pPr>
        <w:pStyle w:val="footnote1"/>
      </w:pPr>
      <w:r>
        <w:rPr>
          <w:vertAlign w:val="superscript"/>
        </w:rPr>
        <w:footnoteRef/>
      </w:r>
      <w:r>
        <w:rPr>
          <w:vertAlign w:val="superscript"/>
        </w:rPr>
        <w:tab/>
      </w:r>
      <w:r>
        <w:rPr>
          <w:color w:val="000000"/>
        </w:rPr>
        <w:t xml:space="preserve">This </w:t>
      </w:r>
      <w:hyperlink r:id="rId11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6">
        <w:r>
          <w:rPr>
            <w:color w:val="0000FF"/>
            <w:szCs w:val="20"/>
            <w:u w:val="single"/>
          </w:rPr>
          <w:t>https://ec.europa.eu/info/funding-tenders/opportunities/docs/2021-2027/horizon/guidance/ls-decision_he_en.pdf</w:t>
        </w:r>
      </w:hyperlink>
    </w:p>
  </w:footnote>
  <w:footnote w:id="98">
    <w:p w14:paraId="448D0C91" w14:textId="77777777" w:rsidR="00D84031" w:rsidRDefault="007965BB">
      <w:pPr>
        <w:pStyle w:val="footnote1"/>
      </w:pPr>
      <w:r>
        <w:rPr>
          <w:vertAlign w:val="superscript"/>
        </w:rPr>
        <w:footnoteRef/>
      </w:r>
      <w:r>
        <w:rPr>
          <w:vertAlign w:val="superscript"/>
        </w:rPr>
        <w:tab/>
      </w:r>
      <w:hyperlink r:id="rId117">
        <w:r>
          <w:rPr>
            <w:color w:val="0000FF"/>
            <w:szCs w:val="20"/>
            <w:u w:val="single"/>
          </w:rPr>
          <w:t>https://eur-lex.europa.eu/legal-content/EN/TXT/?uri=CELEX%3A52020DC0605</w:t>
        </w:r>
      </w:hyperlink>
    </w:p>
  </w:footnote>
  <w:footnote w:id="99">
    <w:p w14:paraId="7227F41C" w14:textId="77777777" w:rsidR="00D84031" w:rsidRDefault="007965BB">
      <w:pPr>
        <w:pStyle w:val="footnote1"/>
      </w:pPr>
      <w:r>
        <w:rPr>
          <w:vertAlign w:val="superscript"/>
        </w:rPr>
        <w:footnoteRef/>
      </w:r>
      <w:r>
        <w:rPr>
          <w:vertAlign w:val="superscript"/>
        </w:rPr>
        <w:tab/>
      </w:r>
      <w:hyperlink r:id="rId118">
        <w:r>
          <w:rPr>
            <w:color w:val="0000FF"/>
            <w:szCs w:val="20"/>
            <w:u w:val="single"/>
          </w:rPr>
          <w:t>https://eur-lex.europa.eu/legal-content/EN/TXT/?uri=CELEX%3A52021DC0170</w:t>
        </w:r>
      </w:hyperlink>
    </w:p>
  </w:footnote>
  <w:footnote w:id="100">
    <w:p w14:paraId="01CCC36C" w14:textId="77777777" w:rsidR="00D84031" w:rsidRDefault="007965BB">
      <w:pPr>
        <w:pStyle w:val="footnote1"/>
      </w:pPr>
      <w:r>
        <w:rPr>
          <w:vertAlign w:val="superscript"/>
        </w:rPr>
        <w:footnoteRef/>
      </w:r>
      <w:r>
        <w:rPr>
          <w:vertAlign w:val="superscript"/>
        </w:rPr>
        <w:tab/>
      </w:r>
      <w:hyperlink r:id="rId119">
        <w:r>
          <w:rPr>
            <w:color w:val="0000FF"/>
            <w:szCs w:val="20"/>
            <w:u w:val="single"/>
          </w:rPr>
          <w:t>https://eur-lex.europa.eu/legal-content/EN/TXT/?uri=CELEX%3A52022DC0800</w:t>
        </w:r>
      </w:hyperlink>
    </w:p>
  </w:footnote>
  <w:footnote w:id="101">
    <w:p w14:paraId="2771B36B" w14:textId="77777777" w:rsidR="00D84031" w:rsidRDefault="007965BB">
      <w:pPr>
        <w:pStyle w:val="footnote1"/>
      </w:pPr>
      <w:r>
        <w:rPr>
          <w:vertAlign w:val="superscript"/>
        </w:rPr>
        <w:footnoteRef/>
      </w:r>
      <w:r>
        <w:rPr>
          <w:vertAlign w:val="superscript"/>
        </w:rPr>
        <w:tab/>
      </w:r>
      <w:hyperlink r:id="rId120">
        <w:r>
          <w:rPr>
            <w:color w:val="0000FF"/>
            <w:szCs w:val="20"/>
            <w:u w:val="single"/>
          </w:rPr>
          <w:t>Council Conclusions on the fight against trafficking in cultural goods ‒ Council conclusions (8 June 2023) (10249/23)</w:t>
        </w:r>
      </w:hyperlink>
    </w:p>
  </w:footnote>
  <w:footnote w:id="102">
    <w:p w14:paraId="4FFCD7A7" w14:textId="77777777" w:rsidR="00D84031" w:rsidRDefault="007965BB">
      <w:pPr>
        <w:pStyle w:val="footnote1"/>
      </w:pPr>
      <w:r>
        <w:rPr>
          <w:vertAlign w:val="superscript"/>
        </w:rPr>
        <w:footnoteRef/>
      </w:r>
      <w:r>
        <w:rPr>
          <w:vertAlign w:val="superscript"/>
        </w:rPr>
        <w:tab/>
      </w:r>
      <w:hyperlink r:id="rId121">
        <w:r>
          <w:rPr>
            <w:color w:val="0000FF"/>
            <w:szCs w:val="20"/>
            <w:u w:val="single"/>
          </w:rPr>
          <w:t>Concept on Cultural heritage in conflicts and crises. A component for peace and security in European Union’s external action. (9962/21)</w:t>
        </w:r>
      </w:hyperlink>
    </w:p>
  </w:footnote>
  <w:footnote w:id="103">
    <w:p w14:paraId="31EA12F6" w14:textId="77777777" w:rsidR="00D84031" w:rsidRDefault="007965BB">
      <w:pPr>
        <w:pStyle w:val="footnote1"/>
      </w:pPr>
      <w:r>
        <w:rPr>
          <w:vertAlign w:val="superscript"/>
        </w:rPr>
        <w:footnoteRef/>
      </w:r>
      <w:r>
        <w:rPr>
          <w:vertAlign w:val="superscript"/>
        </w:rPr>
        <w:tab/>
      </w:r>
      <w:hyperlink r:id="rId122">
        <w:r>
          <w:rPr>
            <w:color w:val="0000FF"/>
            <w:szCs w:val="20"/>
            <w:u w:val="single"/>
          </w:rPr>
          <w:t>Council Conclusions on EU Approach to Cultural Heritage in conflicts and crises (9837/21)</w:t>
        </w:r>
      </w:hyperlink>
    </w:p>
  </w:footnote>
  <w:footnote w:id="104">
    <w:p w14:paraId="7BE6336B" w14:textId="77777777" w:rsidR="00D84031" w:rsidRDefault="007965BB">
      <w:pPr>
        <w:pStyle w:val="footnote1"/>
      </w:pPr>
      <w:r>
        <w:rPr>
          <w:vertAlign w:val="superscript"/>
        </w:rPr>
        <w:footnoteRef/>
      </w:r>
      <w:r>
        <w:rPr>
          <w:vertAlign w:val="superscript"/>
        </w:rPr>
        <w:tab/>
      </w:r>
      <w:hyperlink r:id="rId123">
        <w:r>
          <w:rPr>
            <w:color w:val="0000FF"/>
            <w:szCs w:val="20"/>
            <w:u w:val="single"/>
          </w:rPr>
          <w:t>https://www.europol.europa.eu/publications-events/main-reports/socta-report</w:t>
        </w:r>
      </w:hyperlink>
    </w:p>
  </w:footnote>
  <w:footnote w:id="105">
    <w:p w14:paraId="494F77B9" w14:textId="77777777" w:rsidR="00D84031" w:rsidRDefault="007965BB">
      <w:pPr>
        <w:pStyle w:val="footnote1"/>
      </w:pPr>
      <w:r>
        <w:rPr>
          <w:vertAlign w:val="superscript"/>
        </w:rPr>
        <w:footnoteRef/>
      </w:r>
      <w:r>
        <w:rPr>
          <w:vertAlign w:val="superscript"/>
        </w:rPr>
        <w:tab/>
      </w:r>
      <w:hyperlink r:id="rId124">
        <w:r>
          <w:rPr>
            <w:color w:val="0000FF"/>
            <w:szCs w:val="20"/>
            <w:u w:val="single"/>
          </w:rPr>
          <w:t>EUROPEAN UNION SERIOUS AND ORGANISED CRIME THREAT ASSESSMENT 2025. THE CHANGING DNA OF SERIOUS AND ORGANISED CRIME.</w:t>
        </w:r>
      </w:hyperlink>
    </w:p>
  </w:footnote>
  <w:footnote w:id="106">
    <w:p w14:paraId="08B0C4C2" w14:textId="77777777" w:rsidR="00D84031" w:rsidRDefault="007965BB">
      <w:pPr>
        <w:pStyle w:val="footnote1"/>
      </w:pPr>
      <w:r>
        <w:rPr>
          <w:vertAlign w:val="superscript"/>
        </w:rPr>
        <w:footnoteRef/>
      </w:r>
      <w:r>
        <w:rPr>
          <w:vertAlign w:val="superscript"/>
        </w:rPr>
        <w:tab/>
      </w:r>
      <w:hyperlink r:id="rId125">
        <w:r>
          <w:rPr>
            <w:color w:val="0000FF"/>
            <w:szCs w:val="20"/>
            <w:u w:val="single"/>
          </w:rPr>
          <w:t>https://eur-lex.europa.eu/legal-content/EN/TXT/?uri=CELEX%3A52020DC0605</w:t>
        </w:r>
      </w:hyperlink>
    </w:p>
  </w:footnote>
  <w:footnote w:id="107">
    <w:p w14:paraId="00790412" w14:textId="77777777" w:rsidR="00D84031" w:rsidRDefault="007965BB">
      <w:pPr>
        <w:pStyle w:val="footnote1"/>
      </w:pPr>
      <w:r>
        <w:rPr>
          <w:vertAlign w:val="superscript"/>
        </w:rPr>
        <w:footnoteRef/>
      </w:r>
      <w:r>
        <w:rPr>
          <w:vertAlign w:val="superscript"/>
        </w:rPr>
        <w:tab/>
      </w:r>
      <w:hyperlink r:id="rId126">
        <w:r>
          <w:rPr>
            <w:color w:val="0000FF"/>
            <w:szCs w:val="20"/>
            <w:u w:val="single"/>
          </w:rPr>
          <w:t>https://eur-lex.europa.eu/legal-content/EN/TXT/?uri=CELEX%3A52021DC0170</w:t>
        </w:r>
      </w:hyperlink>
    </w:p>
  </w:footnote>
  <w:footnote w:id="108">
    <w:p w14:paraId="3D9DE5DB" w14:textId="77777777" w:rsidR="00D84031" w:rsidRDefault="007965BB">
      <w:pPr>
        <w:pStyle w:val="footnote1"/>
      </w:pPr>
      <w:r>
        <w:rPr>
          <w:vertAlign w:val="superscript"/>
        </w:rPr>
        <w:footnoteRef/>
      </w:r>
      <w:r>
        <w:rPr>
          <w:vertAlign w:val="superscript"/>
        </w:rPr>
        <w:tab/>
      </w:r>
      <w:hyperlink r:id="rId127">
        <w:r>
          <w:rPr>
            <w:color w:val="0000FF"/>
            <w:szCs w:val="20"/>
            <w:u w:val="single"/>
          </w:rPr>
          <w:t>https://eur-lex.europa.eu/legal-content/EN/TXT/?uri=CELEX%3A52022DC0800</w:t>
        </w:r>
      </w:hyperlink>
    </w:p>
  </w:footnote>
  <w:footnote w:id="109">
    <w:p w14:paraId="6D87C8B1" w14:textId="77777777" w:rsidR="00D84031" w:rsidRDefault="007965BB">
      <w:pPr>
        <w:pStyle w:val="footnote1"/>
      </w:pPr>
      <w:r>
        <w:rPr>
          <w:vertAlign w:val="superscript"/>
        </w:rPr>
        <w:footnoteRef/>
      </w:r>
      <w:r>
        <w:rPr>
          <w:vertAlign w:val="superscript"/>
        </w:rPr>
        <w:tab/>
      </w:r>
      <w:hyperlink r:id="rId128">
        <w:r>
          <w:rPr>
            <w:color w:val="0000FF"/>
            <w:szCs w:val="20"/>
            <w:u w:val="single"/>
          </w:rPr>
          <w:t>https://research-and-innovation.ec.europa.eu/research-area/social-sciences-and-humanities/cultural-heritage-and-cultural-and-creative-industries-ccis/cultural-heritage-cloud_en</w:t>
        </w:r>
      </w:hyperlink>
    </w:p>
  </w:footnote>
  <w:footnote w:id="110">
    <w:p w14:paraId="0D2B1435" w14:textId="77777777" w:rsidR="00D84031" w:rsidRDefault="007965BB">
      <w:pPr>
        <w:pStyle w:val="footnote1"/>
      </w:pPr>
      <w:r>
        <w:rPr>
          <w:vertAlign w:val="superscript"/>
        </w:rPr>
        <w:footnoteRef/>
      </w:r>
      <w:r>
        <w:rPr>
          <w:vertAlign w:val="superscript"/>
        </w:rPr>
        <w:tab/>
      </w:r>
      <w:hyperlink r:id="rId129">
        <w:r>
          <w:rPr>
            <w:color w:val="0000FF"/>
            <w:szCs w:val="20"/>
            <w:u w:val="single"/>
          </w:rPr>
          <w:t>https://culture.ec.europa.eu/news/the-eu-presents-expert-recommendations-on-safeguarding-cultural-heritage-in-ukraine</w:t>
        </w:r>
      </w:hyperlink>
    </w:p>
  </w:footnote>
  <w:footnote w:id="111">
    <w:p w14:paraId="48B2E9EE" w14:textId="77777777" w:rsidR="00D84031" w:rsidRDefault="007965BB">
      <w:pPr>
        <w:pStyle w:val="footnote1"/>
      </w:pPr>
      <w:r>
        <w:rPr>
          <w:vertAlign w:val="superscript"/>
        </w:rPr>
        <w:footnoteRef/>
      </w:r>
      <w:r>
        <w:rPr>
          <w:vertAlign w:val="superscript"/>
        </w:rPr>
        <w:tab/>
      </w:r>
      <w:r>
        <w:rPr>
          <w:color w:val="000000"/>
        </w:rPr>
        <w:t xml:space="preserve">This </w:t>
      </w:r>
      <w:hyperlink r:id="rId13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31">
        <w:r>
          <w:rPr>
            <w:color w:val="0000FF"/>
            <w:szCs w:val="20"/>
            <w:u w:val="single"/>
          </w:rPr>
          <w:t>https://ec.europa.eu/info/funding-tenders/opportunities/docs/2021-2027/horizon/guidance/ls-decision_he_en.pdf</w:t>
        </w:r>
      </w:hyperlink>
    </w:p>
  </w:footnote>
  <w:footnote w:id="112">
    <w:p w14:paraId="12C51D8A" w14:textId="77777777" w:rsidR="00D84031" w:rsidRDefault="007965BB">
      <w:pPr>
        <w:pStyle w:val="footnote1"/>
      </w:pPr>
      <w:r>
        <w:rPr>
          <w:vertAlign w:val="superscript"/>
        </w:rPr>
        <w:footnoteRef/>
      </w:r>
      <w:r>
        <w:rPr>
          <w:vertAlign w:val="superscript"/>
        </w:rPr>
        <w:tab/>
      </w:r>
      <w:r>
        <w:rPr>
          <w:color w:val="000000"/>
        </w:rPr>
        <w:t xml:space="preserve">CCIs as defined in the European Parliament Resolution ‘A coherent EU policy for cultural and creative industries’: </w:t>
      </w:r>
      <w:hyperlink r:id="rId132">
        <w:r>
          <w:rPr>
            <w:color w:val="0000FF"/>
            <w:szCs w:val="20"/>
            <w:u w:val="single"/>
          </w:rPr>
          <w:t>https://eur-lex.europa.eu/legal-content/EN/TXT/PDF/?uri=CELEX:52016IP0486&amp;from=EN</w:t>
        </w:r>
      </w:hyperlink>
    </w:p>
  </w:footnote>
  <w:footnote w:id="113">
    <w:p w14:paraId="2F0AF4F3" w14:textId="77777777" w:rsidR="00D84031" w:rsidRDefault="007965BB">
      <w:pPr>
        <w:pStyle w:val="footnote1"/>
      </w:pPr>
      <w:r>
        <w:rPr>
          <w:vertAlign w:val="superscript"/>
        </w:rPr>
        <w:footnoteRef/>
      </w:r>
      <w:r>
        <w:rPr>
          <w:vertAlign w:val="superscript"/>
        </w:rPr>
        <w:tab/>
      </w:r>
      <w:r>
        <w:rPr>
          <w:color w:val="000000"/>
        </w:rPr>
        <w:t>See for instance Open Method of Coordination report ‘</w:t>
      </w:r>
      <w:hyperlink r:id="rId133">
        <w:r>
          <w:rPr>
            <w:color w:val="0000FF"/>
            <w:szCs w:val="20"/>
            <w:u w:val="single"/>
          </w:rPr>
          <w:t>The role of public policies in developing entrepreneurial and innovation potential of the cultural and creative sectors</w:t>
        </w:r>
      </w:hyperlink>
      <w:r>
        <w:rPr>
          <w:color w:val="000000"/>
        </w:rPr>
        <w:t>’</w:t>
      </w:r>
    </w:p>
  </w:footnote>
  <w:footnote w:id="114">
    <w:p w14:paraId="5263E27F" w14:textId="77777777" w:rsidR="00D84031" w:rsidRDefault="007965BB">
      <w:pPr>
        <w:pStyle w:val="footnote1"/>
      </w:pPr>
      <w:r>
        <w:rPr>
          <w:vertAlign w:val="superscript"/>
        </w:rPr>
        <w:footnoteRef/>
      </w:r>
      <w:r>
        <w:rPr>
          <w:vertAlign w:val="superscript"/>
        </w:rPr>
        <w:tab/>
      </w:r>
      <w:r>
        <w:rPr>
          <w:color w:val="000000"/>
        </w:rPr>
        <w:t xml:space="preserve">Including </w:t>
      </w:r>
      <w:r>
        <w:rPr>
          <w:color w:val="000000"/>
        </w:rPr>
        <w:t>projects funded under the call topics HORIZON-CL2-2021-HERITAGE-01-03, HORIZON-CL2-2022-HERITAGE-01-04, HORIZON-CL2-2022-HERITAGE-01-05, HORIZON-CL2-2022-HERITAGE-01-06, HORIZON-CL2-2022-HERITAGE-01-09, HORIZON-CL2-2022-HERITAGE-02-01, HORIZON-CL2-2023-HERITAGE-01-02, HORIZON-CL2-2023-HERITAGE-01-06, HORIZON-CL2-2024-HERITAGE-01-02, HORIZON-CL2-2024-HERITAGE-01-03, HORIZON-CL2-2025-01-HERITAGE-04, HORIZON-CL2-2025-01-HERITAGE-05, HORIZON-CL2-2025-01-HERITAGE-06.</w:t>
      </w:r>
    </w:p>
  </w:footnote>
  <w:footnote w:id="115">
    <w:p w14:paraId="5CF50245" w14:textId="77777777" w:rsidR="00D84031" w:rsidRDefault="007965BB">
      <w:pPr>
        <w:pStyle w:val="footnote1"/>
      </w:pPr>
      <w:r>
        <w:rPr>
          <w:vertAlign w:val="superscript"/>
        </w:rPr>
        <w:footnoteRef/>
      </w:r>
      <w:r>
        <w:rPr>
          <w:vertAlign w:val="superscript"/>
        </w:rPr>
        <w:tab/>
      </w:r>
      <w:hyperlink r:id="rId134">
        <w:r>
          <w:rPr>
            <w:color w:val="0000FF"/>
            <w:szCs w:val="20"/>
            <w:u w:val="single"/>
          </w:rPr>
          <w:t>https://cordis.europa.eu/project/id/101112111</w:t>
        </w:r>
      </w:hyperlink>
    </w:p>
  </w:footnote>
  <w:footnote w:id="116">
    <w:p w14:paraId="3E64ECA1" w14:textId="77777777" w:rsidR="00D84031" w:rsidRDefault="007965BB">
      <w:pPr>
        <w:pStyle w:val="footnote1"/>
      </w:pPr>
      <w:r>
        <w:rPr>
          <w:vertAlign w:val="superscript"/>
        </w:rPr>
        <w:footnoteRef/>
      </w:r>
      <w:r>
        <w:rPr>
          <w:vertAlign w:val="superscript"/>
        </w:rPr>
        <w:tab/>
      </w:r>
      <w:hyperlink r:id="rId135">
        <w:r>
          <w:rPr>
            <w:color w:val="0000FF"/>
            <w:szCs w:val="20"/>
            <w:u w:val="single"/>
          </w:rPr>
          <w:t>https://www.eit.europa.eu/eit-community/eit-culture-creativity</w:t>
        </w:r>
      </w:hyperlink>
    </w:p>
  </w:footnote>
  <w:footnote w:id="117">
    <w:p w14:paraId="40D6B4FB" w14:textId="77777777" w:rsidR="00D84031" w:rsidRDefault="007965BB">
      <w:pPr>
        <w:pStyle w:val="footnote1"/>
      </w:pPr>
      <w:r>
        <w:rPr>
          <w:vertAlign w:val="superscript"/>
        </w:rPr>
        <w:footnoteRef/>
      </w:r>
      <w:r>
        <w:rPr>
          <w:vertAlign w:val="superscript"/>
        </w:rPr>
        <w:tab/>
      </w:r>
      <w:hyperlink r:id="rId136">
        <w:r>
          <w:rPr>
            <w:color w:val="0000FF"/>
            <w:szCs w:val="20"/>
            <w:u w:val="single"/>
          </w:rPr>
          <w:t>https://pact-for-skills.ec.europa.eu/about/industrial-ecosystems-and-partnerships/creative-and-cultural-industries_en</w:t>
        </w:r>
      </w:hyperlink>
    </w:p>
  </w:footnote>
  <w:footnote w:id="118">
    <w:p w14:paraId="07E9C885" w14:textId="77777777" w:rsidR="00D84031" w:rsidRDefault="007965BB">
      <w:pPr>
        <w:pStyle w:val="footnote1"/>
      </w:pPr>
      <w:r>
        <w:rPr>
          <w:vertAlign w:val="superscript"/>
        </w:rPr>
        <w:footnoteRef/>
      </w:r>
      <w:r>
        <w:rPr>
          <w:vertAlign w:val="superscript"/>
        </w:rPr>
        <w:tab/>
      </w:r>
      <w:r>
        <w:rPr>
          <w:color w:val="000000"/>
        </w:rPr>
        <w:t xml:space="preserve">This </w:t>
      </w:r>
      <w:hyperlink r:id="rId13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38">
        <w:r>
          <w:rPr>
            <w:color w:val="0000FF"/>
            <w:szCs w:val="20"/>
            <w:u w:val="single"/>
          </w:rPr>
          <w:t>https://ec.europa.eu/info/funding-tenders/opportunities/docs/2021-2027/horizon/guidance/ls-decision_he_en.pdf</w:t>
        </w:r>
      </w:hyperlink>
    </w:p>
  </w:footnote>
  <w:footnote w:id="119">
    <w:p w14:paraId="2EBE46CC" w14:textId="77777777" w:rsidR="00D84031" w:rsidRDefault="007965BB">
      <w:pPr>
        <w:pStyle w:val="footnote1"/>
      </w:pPr>
      <w:r>
        <w:rPr>
          <w:vertAlign w:val="superscript"/>
        </w:rPr>
        <w:footnoteRef/>
      </w:r>
      <w:r>
        <w:rPr>
          <w:vertAlign w:val="superscript"/>
        </w:rPr>
        <w:tab/>
      </w:r>
      <w:r>
        <w:rPr>
          <w:color w:val="000000"/>
        </w:rPr>
        <w:t xml:space="preserve">This </w:t>
      </w:r>
      <w:hyperlink r:id="rId13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40">
        <w:r>
          <w:rPr>
            <w:color w:val="0000FF"/>
            <w:szCs w:val="20"/>
            <w:u w:val="single"/>
          </w:rPr>
          <w:t>https://ec.europa.eu/info/funding-tenders/opportunities/docs/2021-2027/horizon/guidance/ls-decision_he_en.pdf</w:t>
        </w:r>
      </w:hyperlink>
    </w:p>
  </w:footnote>
  <w:footnote w:id="120">
    <w:p w14:paraId="54AEC797" w14:textId="77777777" w:rsidR="00D84031" w:rsidRDefault="007965BB">
      <w:pPr>
        <w:pStyle w:val="footnote1"/>
      </w:pPr>
      <w:r>
        <w:rPr>
          <w:vertAlign w:val="superscript"/>
        </w:rPr>
        <w:footnoteRef/>
      </w:r>
      <w:r>
        <w:rPr>
          <w:vertAlign w:val="superscript"/>
        </w:rPr>
        <w:tab/>
      </w:r>
      <w:r>
        <w:rPr>
          <w:color w:val="000000"/>
        </w:rPr>
        <w:t xml:space="preserve">“The frugal innovation process is a problem-oriented, creative approach to problem solving which starts from user needs and works from the bottom up to develop contextually appropriate solutions. It tends to be frugal both in ends and means,” Study on frugal innovation and reengineering of traditional techniques,2017 </w:t>
      </w:r>
      <w:hyperlink r:id="rId141">
        <w:r>
          <w:rPr>
            <w:color w:val="0000FF"/>
            <w:szCs w:val="20"/>
            <w:u w:val="single"/>
          </w:rPr>
          <w:t>https://op.europa.eu/en/publication-detail/-/publication/20d6095a-2a44-11e7-ab65-01aa75ed71a1</w:t>
        </w:r>
      </w:hyperlink>
      <w:r>
        <w:rPr>
          <w:color w:val="000000"/>
        </w:rPr>
        <w:t xml:space="preserve"> , see also </w:t>
      </w:r>
      <w:hyperlink r:id="rId142">
        <w:r>
          <w:rPr>
            <w:color w:val="0000FF"/>
            <w:szCs w:val="20"/>
            <w:u w:val="single"/>
          </w:rPr>
          <w:t>https://op.europa.eu/en/publication-detail/-/publication/639c142b-f260-11ef-981b-01aa75ed71a1/language-en</w:t>
        </w:r>
      </w:hyperlink>
    </w:p>
  </w:footnote>
  <w:footnote w:id="121">
    <w:p w14:paraId="502BD0A2" w14:textId="77777777" w:rsidR="00D84031" w:rsidRDefault="007965BB">
      <w:pPr>
        <w:pStyle w:val="footnote1"/>
      </w:pPr>
      <w:r>
        <w:rPr>
          <w:vertAlign w:val="superscript"/>
        </w:rPr>
        <w:footnoteRef/>
      </w:r>
      <w:r>
        <w:rPr>
          <w:vertAlign w:val="superscript"/>
        </w:rPr>
        <w:tab/>
      </w:r>
      <w:r>
        <w:rPr>
          <w:color w:val="000000"/>
        </w:rPr>
        <w:t>“The circular economy is a model of production and consumption, which involves sharing, leasing, reusing, repairing, refurbishing and recycling existing materials and products as long as possible. In this way, the life cycle of products is extended. In practice, it implies reducing waste to a minimum.”</w:t>
      </w:r>
    </w:p>
    <w:p w14:paraId="3BEFBC74" w14:textId="77777777" w:rsidR="00D84031" w:rsidRDefault="007965BB">
      <w:pPr>
        <w:pStyle w:val="footnote2"/>
      </w:pPr>
      <w:hyperlink r:id="rId143">
        <w:r>
          <w:rPr>
            <w:color w:val="0000FF"/>
            <w:szCs w:val="20"/>
            <w:u w:val="single"/>
          </w:rPr>
          <w:t>https://www.europarl.europa.eu/topics/en/article/20151201STO05603/circular-economy-definition-importance-and-benefits</w:t>
        </w:r>
      </w:hyperlink>
    </w:p>
  </w:footnote>
  <w:footnote w:id="122">
    <w:p w14:paraId="771D93AA" w14:textId="77777777" w:rsidR="00D84031" w:rsidRDefault="007965BB">
      <w:pPr>
        <w:pStyle w:val="footnote1"/>
      </w:pPr>
      <w:r>
        <w:rPr>
          <w:vertAlign w:val="superscript"/>
        </w:rPr>
        <w:footnoteRef/>
      </w:r>
      <w:r>
        <w:rPr>
          <w:vertAlign w:val="superscript"/>
        </w:rPr>
        <w:tab/>
      </w:r>
      <w:hyperlink r:id="rId144">
        <w:r>
          <w:rPr>
            <w:color w:val="0000FF"/>
            <w:szCs w:val="20"/>
            <w:u w:val="single"/>
          </w:rPr>
          <w:t>The New European Innovation Agenda - European Commission</w:t>
        </w:r>
      </w:hyperlink>
    </w:p>
  </w:footnote>
  <w:footnote w:id="123">
    <w:p w14:paraId="44B6E5AE" w14:textId="77777777" w:rsidR="00D84031" w:rsidRDefault="007965BB">
      <w:pPr>
        <w:pStyle w:val="footnote1"/>
      </w:pPr>
      <w:r>
        <w:rPr>
          <w:vertAlign w:val="superscript"/>
        </w:rPr>
        <w:footnoteRef/>
      </w:r>
      <w:r>
        <w:rPr>
          <w:vertAlign w:val="superscript"/>
        </w:rPr>
        <w:tab/>
      </w:r>
      <w:r>
        <w:rPr>
          <w:color w:val="000000"/>
        </w:rPr>
        <w:t>http://unep.org/resources/Global-Resource-Outlook-2024</w:t>
      </w:r>
    </w:p>
  </w:footnote>
  <w:footnote w:id="124">
    <w:p w14:paraId="3796270B" w14:textId="77777777" w:rsidR="00D84031" w:rsidRDefault="007965BB">
      <w:pPr>
        <w:pStyle w:val="footnote1"/>
      </w:pPr>
      <w:r>
        <w:rPr>
          <w:vertAlign w:val="superscript"/>
        </w:rPr>
        <w:footnoteRef/>
      </w:r>
      <w:r>
        <w:rPr>
          <w:vertAlign w:val="superscript"/>
        </w:rPr>
        <w:tab/>
      </w:r>
      <w:hyperlink r:id="rId145">
        <w:r>
          <w:rPr>
            <w:color w:val="0000FF"/>
            <w:szCs w:val="20"/>
            <w:u w:val="single"/>
          </w:rPr>
          <w:t>https://www.kowi.de/Portaldata/2/Resources/heu/coop/he-built4people-sria-2022-27.pdf</w:t>
        </w:r>
      </w:hyperlink>
    </w:p>
  </w:footnote>
  <w:footnote w:id="125">
    <w:p w14:paraId="16649AE1" w14:textId="77777777" w:rsidR="00D84031" w:rsidRDefault="007965BB">
      <w:pPr>
        <w:pStyle w:val="footnote1"/>
      </w:pPr>
      <w:r>
        <w:rPr>
          <w:vertAlign w:val="superscript"/>
        </w:rPr>
        <w:footnoteRef/>
      </w:r>
      <w:r>
        <w:rPr>
          <w:vertAlign w:val="superscript"/>
        </w:rPr>
        <w:tab/>
      </w:r>
      <w:hyperlink r:id="rId146">
        <w:r>
          <w:rPr>
            <w:color w:val="0000FF"/>
            <w:szCs w:val="20"/>
            <w:u w:val="single"/>
          </w:rPr>
          <w:t>https://circular-cities-and-regions.ec.europa.eu/support-materials/papers-and-reports</w:t>
        </w:r>
      </w:hyperlink>
      <w:r>
        <w:rPr>
          <w:color w:val="000000"/>
        </w:rPr>
        <w:t xml:space="preserve">. On this topic, see also the Urban Agenda for the EU </w:t>
      </w:r>
      <w:hyperlink r:id="rId147">
        <w:r>
          <w:rPr>
            <w:color w:val="0000FF"/>
            <w:szCs w:val="20"/>
            <w:u w:val="single"/>
          </w:rPr>
          <w:t>https://ec.europa.eu/futurium/en/system/files/ged/sustainable_circular_reuse_of_spaces_and_buildings_handbook.pdf</w:t>
        </w:r>
      </w:hyperlink>
    </w:p>
  </w:footnote>
  <w:footnote w:id="126">
    <w:p w14:paraId="2C9660F6" w14:textId="77777777" w:rsidR="00D84031" w:rsidRDefault="007965BB">
      <w:pPr>
        <w:pStyle w:val="footnote1"/>
      </w:pPr>
      <w:r>
        <w:rPr>
          <w:vertAlign w:val="superscript"/>
        </w:rPr>
        <w:footnoteRef/>
      </w:r>
      <w:r>
        <w:rPr>
          <w:vertAlign w:val="superscript"/>
        </w:rPr>
        <w:tab/>
      </w:r>
      <w:r>
        <w:rPr>
          <w:color w:val="000000"/>
        </w:rPr>
        <w:t xml:space="preserve">This </w:t>
      </w:r>
      <w:hyperlink r:id="rId14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49">
        <w:r>
          <w:rPr>
            <w:color w:val="0000FF"/>
            <w:szCs w:val="20"/>
            <w:u w:val="single"/>
          </w:rPr>
          <w:t>https://ec.europa.eu/info/funding-tenders/opportunities/docs/2021-2027/horizon/guidance/ls-decision_he_en.pdf</w:t>
        </w:r>
      </w:hyperlink>
    </w:p>
  </w:footnote>
  <w:footnote w:id="127">
    <w:p w14:paraId="20129230" w14:textId="77777777" w:rsidR="00D84031" w:rsidRDefault="007965BB">
      <w:pPr>
        <w:pStyle w:val="footnote1"/>
      </w:pPr>
      <w:r>
        <w:rPr>
          <w:vertAlign w:val="superscript"/>
        </w:rPr>
        <w:footnoteRef/>
      </w:r>
      <w:r>
        <w:rPr>
          <w:vertAlign w:val="superscript"/>
        </w:rPr>
        <w:tab/>
      </w:r>
      <w:r>
        <w:rPr>
          <w:color w:val="000000"/>
        </w:rPr>
        <w:t>‘Health and well-being’ should in the context of this topic be understood in a comprehensive sense, comprising both mental and physical health and well-being.</w:t>
      </w:r>
    </w:p>
  </w:footnote>
  <w:footnote w:id="128">
    <w:p w14:paraId="037F0698" w14:textId="77777777" w:rsidR="00D84031" w:rsidRDefault="007965BB">
      <w:pPr>
        <w:pStyle w:val="footnote1"/>
      </w:pPr>
      <w:r>
        <w:rPr>
          <w:vertAlign w:val="superscript"/>
        </w:rPr>
        <w:footnoteRef/>
      </w:r>
      <w:r>
        <w:rPr>
          <w:vertAlign w:val="superscript"/>
        </w:rPr>
        <w:tab/>
      </w:r>
      <w:r>
        <w:rPr>
          <w:color w:val="000000"/>
        </w:rPr>
        <w:t>See the 2019 WHO Scoping review “</w:t>
      </w:r>
      <w:hyperlink r:id="rId150">
        <w:r>
          <w:rPr>
            <w:color w:val="0000FF"/>
            <w:szCs w:val="20"/>
            <w:u w:val="single"/>
          </w:rPr>
          <w:t>What is the evidence on the role of the arts in improving health and well-being</w:t>
        </w:r>
      </w:hyperlink>
      <w:r>
        <w:rPr>
          <w:color w:val="000000"/>
        </w:rPr>
        <w:t>?”</w:t>
      </w:r>
    </w:p>
  </w:footnote>
  <w:footnote w:id="129">
    <w:p w14:paraId="3B2CAFD0" w14:textId="77777777" w:rsidR="00D84031" w:rsidRDefault="007965BB">
      <w:pPr>
        <w:pStyle w:val="footnote1"/>
      </w:pPr>
      <w:r>
        <w:rPr>
          <w:vertAlign w:val="superscript"/>
        </w:rPr>
        <w:footnoteRef/>
      </w:r>
      <w:r>
        <w:rPr>
          <w:vertAlign w:val="superscript"/>
        </w:rPr>
        <w:tab/>
      </w:r>
      <w:r>
        <w:rPr>
          <w:color w:val="000000"/>
        </w:rPr>
        <w:t xml:space="preserve">This </w:t>
      </w:r>
      <w:hyperlink r:id="rId15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52">
        <w:r>
          <w:rPr>
            <w:color w:val="0000FF"/>
            <w:szCs w:val="20"/>
            <w:u w:val="single"/>
          </w:rPr>
          <w:t>https://ec.europa.eu/info/funding-tenders/opportunities/docs/2021-2027/horizon/guidance/ls-decision_he_en.pdf</w:t>
        </w:r>
      </w:hyperlink>
    </w:p>
  </w:footnote>
  <w:footnote w:id="130">
    <w:p w14:paraId="3C619A0D" w14:textId="77777777" w:rsidR="00D84031" w:rsidRDefault="007965BB">
      <w:pPr>
        <w:pStyle w:val="footnote1"/>
      </w:pPr>
      <w:r>
        <w:rPr>
          <w:vertAlign w:val="superscript"/>
        </w:rPr>
        <w:footnoteRef/>
      </w:r>
      <w:r>
        <w:rPr>
          <w:vertAlign w:val="superscript"/>
        </w:rPr>
        <w:tab/>
      </w:r>
      <w:r>
        <w:rPr>
          <w:color w:val="000000"/>
        </w:rPr>
        <w:t xml:space="preserve">The European Commission defines social economy in the Communication </w:t>
      </w:r>
      <w:r>
        <w:rPr>
          <w:i/>
          <w:color w:val="000000"/>
        </w:rPr>
        <w:t>‘</w:t>
      </w:r>
      <w:hyperlink r:id="rId153">
        <w:r>
          <w:rPr>
            <w:i/>
            <w:color w:val="0000FF"/>
            <w:szCs w:val="20"/>
            <w:u w:val="single"/>
          </w:rPr>
          <w:t>Building an economy that works for people: an action plan for the social economy</w:t>
        </w:r>
      </w:hyperlink>
      <w:r>
        <w:rPr>
          <w:i/>
          <w:color w:val="000000"/>
        </w:rPr>
        <w:t xml:space="preserve">’, </w:t>
      </w:r>
      <w:r>
        <w:rPr>
          <w:color w:val="000000"/>
        </w:rPr>
        <w:t>COM(2021) 778 final, p. 5 "The social economy covers entities sharing the following main common principles and features: the primacy of people as well as social and/or environmental purpose over profit, the reinvestment of most of the profits and surpluses to carry out activities in the interest of members/users (“collective interest”) or society at large (“general interest”) and democratic and/or participatory governance. Traditionally, the term social economy refers to four main types of entities provi</w:t>
      </w:r>
      <w:r>
        <w:rPr>
          <w:color w:val="000000"/>
        </w:rPr>
        <w:t>ding goods and services to their members or society at large: cooperatives, mutual benefit societies, associations (including charities), and foundations.” […</w:t>
      </w:r>
    </w:p>
  </w:footnote>
  <w:footnote w:id="131">
    <w:p w14:paraId="075FB640" w14:textId="77777777" w:rsidR="00D84031" w:rsidRDefault="007965BB">
      <w:pPr>
        <w:pStyle w:val="footnote1"/>
      </w:pPr>
      <w:r>
        <w:rPr>
          <w:vertAlign w:val="superscript"/>
        </w:rPr>
        <w:footnoteRef/>
      </w:r>
      <w:r>
        <w:rPr>
          <w:vertAlign w:val="superscript"/>
        </w:rPr>
        <w:tab/>
      </w:r>
      <w:r>
        <w:rPr>
          <w:color w:val="000000"/>
        </w:rPr>
        <w:t xml:space="preserve">Among others, A. Costantini, </w:t>
      </w:r>
      <w:r>
        <w:rPr>
          <w:i/>
          <w:color w:val="000000"/>
        </w:rPr>
        <w:t>Social Economy Enterprises and Cultural and Creative Industries. Observations and best practices</w:t>
      </w:r>
      <w:r>
        <w:rPr>
          <w:color w:val="000000"/>
        </w:rPr>
        <w:t xml:space="preserve">, Bruxelles, Diesis 2018 </w:t>
      </w:r>
      <w:hyperlink r:id="rId154">
        <w:r>
          <w:rPr>
            <w:color w:val="0000FF"/>
            <w:szCs w:val="20"/>
            <w:u w:val="single"/>
          </w:rPr>
          <w:t>CCIs-SEEs_-FINAL_2018.pdf</w:t>
        </w:r>
      </w:hyperlink>
    </w:p>
  </w:footnote>
  <w:footnote w:id="132">
    <w:p w14:paraId="7DDF5A56" w14:textId="77777777" w:rsidR="00D84031" w:rsidRDefault="007965BB">
      <w:pPr>
        <w:pStyle w:val="footnote1"/>
      </w:pPr>
      <w:r>
        <w:rPr>
          <w:vertAlign w:val="superscript"/>
        </w:rPr>
        <w:footnoteRef/>
      </w:r>
      <w:r>
        <w:rPr>
          <w:vertAlign w:val="superscript"/>
        </w:rPr>
        <w:tab/>
      </w:r>
      <w:hyperlink r:id="rId155">
        <w:r>
          <w:rPr>
            <w:color w:val="0000FF"/>
            <w:szCs w:val="20"/>
            <w:u w:val="single"/>
          </w:rPr>
          <w:t>About the EU Social Economy Gateway - European Commission</w:t>
        </w:r>
      </w:hyperlink>
    </w:p>
  </w:footnote>
  <w:footnote w:id="133">
    <w:p w14:paraId="7C999212" w14:textId="77777777" w:rsidR="00D84031" w:rsidRDefault="007965BB">
      <w:pPr>
        <w:pStyle w:val="footnote1"/>
      </w:pPr>
      <w:r>
        <w:rPr>
          <w:vertAlign w:val="superscript"/>
        </w:rPr>
        <w:footnoteRef/>
      </w:r>
      <w:r>
        <w:rPr>
          <w:vertAlign w:val="superscript"/>
        </w:rPr>
        <w:tab/>
      </w:r>
      <w:r>
        <w:rPr>
          <w:color w:val="000000"/>
        </w:rPr>
        <w:t xml:space="preserve">The Culture Fix. Creative people, places and industries (2022) </w:t>
      </w:r>
      <w:hyperlink r:id="rId156">
        <w:r>
          <w:rPr>
            <w:color w:val="0000FF"/>
            <w:szCs w:val="20"/>
            <w:u w:val="single"/>
          </w:rPr>
          <w:t>Full Report | OECD</w:t>
        </w:r>
      </w:hyperlink>
      <w:r>
        <w:rPr>
          <w:color w:val="000000"/>
        </w:rPr>
        <w:t>; Economic and social impact of cultural and creative sectors. Note for Italy G20 Presidency Culture Working Group</w:t>
      </w:r>
    </w:p>
    <w:p w14:paraId="2A85AE0F" w14:textId="77777777" w:rsidR="00D84031" w:rsidRDefault="007965BB">
      <w:pPr>
        <w:pStyle w:val="footnote2"/>
      </w:pPr>
      <w:hyperlink r:id="rId157">
        <w:r>
          <w:rPr>
            <w:color w:val="0000FF"/>
            <w:szCs w:val="20"/>
            <w:u w:val="single"/>
          </w:rPr>
          <w:t>Economic and social impact of cultural and creative sectors | OECD</w:t>
        </w:r>
      </w:hyperlink>
    </w:p>
  </w:footnote>
  <w:footnote w:id="134">
    <w:p w14:paraId="6573301E" w14:textId="77777777" w:rsidR="00D84031" w:rsidRDefault="007965BB">
      <w:pPr>
        <w:pStyle w:val="footnote1"/>
      </w:pPr>
      <w:r>
        <w:rPr>
          <w:vertAlign w:val="superscript"/>
        </w:rPr>
        <w:footnoteRef/>
      </w:r>
      <w:r>
        <w:rPr>
          <w:vertAlign w:val="superscript"/>
        </w:rPr>
        <w:tab/>
      </w:r>
      <w:r>
        <w:rPr>
          <w:color w:val="000000"/>
        </w:rPr>
        <w:t xml:space="preserve">Promoting the social and solidarity economy for sustainable development </w:t>
      </w:r>
      <w:hyperlink r:id="rId158">
        <w:r>
          <w:rPr>
            <w:color w:val="0000FF"/>
            <w:szCs w:val="20"/>
            <w:u w:val="single"/>
          </w:rPr>
          <w:t>A-77-L60.pdf</w:t>
        </w:r>
      </w:hyperlink>
    </w:p>
  </w:footnote>
  <w:footnote w:id="135">
    <w:p w14:paraId="0F09D15C" w14:textId="77777777" w:rsidR="00D84031" w:rsidRDefault="007965BB">
      <w:pPr>
        <w:pStyle w:val="footnote1"/>
      </w:pPr>
      <w:r>
        <w:rPr>
          <w:vertAlign w:val="superscript"/>
        </w:rPr>
        <w:footnoteRef/>
      </w:r>
      <w:r>
        <w:rPr>
          <w:vertAlign w:val="superscript"/>
        </w:rPr>
        <w:tab/>
      </w:r>
      <w:r>
        <w:rPr>
          <w:color w:val="000000"/>
        </w:rPr>
        <w:t xml:space="preserve">The 2021 study "Social mobility in the Creative Economy: Rebuilding and levelling up?" by the Creative Industries Policy and Evidence Centre (PEC) provides insights into class imbalances in the creative industries, highlights the need for systemic change to address deep-rooted structural inequalities in the creative industries and proposes a ten-point action plan for enhancing social mobility in the creative economy </w:t>
      </w:r>
      <w:hyperlink r:id="rId159">
        <w:r>
          <w:rPr>
            <w:color w:val="0000FF"/>
            <w:szCs w:val="20"/>
            <w:u w:val="single"/>
          </w:rPr>
          <w:t>Social mobility in the Creative Economy: Rebuilding and levelling up?</w:t>
        </w:r>
      </w:hyperlink>
    </w:p>
  </w:footnote>
  <w:footnote w:id="136">
    <w:p w14:paraId="06B15D77" w14:textId="77777777" w:rsidR="00D84031" w:rsidRDefault="007965BB">
      <w:pPr>
        <w:pStyle w:val="footnote1"/>
      </w:pPr>
      <w:r>
        <w:rPr>
          <w:vertAlign w:val="superscript"/>
        </w:rPr>
        <w:footnoteRef/>
      </w:r>
      <w:r>
        <w:rPr>
          <w:vertAlign w:val="superscript"/>
        </w:rPr>
        <w:tab/>
      </w:r>
      <w:r>
        <w:rPr>
          <w:color w:val="000000"/>
        </w:rPr>
        <w:t xml:space="preserve">This </w:t>
      </w:r>
      <w:hyperlink r:id="rId16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61">
        <w:r>
          <w:rPr>
            <w:color w:val="0000FF"/>
            <w:szCs w:val="20"/>
            <w:u w:val="single"/>
          </w:rPr>
          <w:t>https://ec.europa.eu/info/funding-tenders/opportunities/docs/2021-2027/horizon/guidance/ls-decision_he_en.pdf</w:t>
        </w:r>
      </w:hyperlink>
    </w:p>
  </w:footnote>
  <w:footnote w:id="137">
    <w:p w14:paraId="5D5B43B1" w14:textId="77777777" w:rsidR="00D84031" w:rsidRDefault="007965BB">
      <w:pPr>
        <w:pStyle w:val="footnote1"/>
      </w:pPr>
      <w:r>
        <w:rPr>
          <w:vertAlign w:val="superscript"/>
        </w:rPr>
        <w:footnoteRef/>
      </w:r>
      <w:r>
        <w:rPr>
          <w:vertAlign w:val="superscript"/>
        </w:rPr>
        <w:tab/>
      </w:r>
      <w:r>
        <w:rPr>
          <w:color w:val="000000"/>
        </w:rPr>
        <w:t xml:space="preserve">UN World Tourism Organization (2018), </w:t>
      </w:r>
      <w:r>
        <w:rPr>
          <w:i/>
          <w:color w:val="000000"/>
        </w:rPr>
        <w:t>Tourism and Culture Synergies</w:t>
      </w:r>
      <w:r>
        <w:rPr>
          <w:color w:val="000000"/>
        </w:rPr>
        <w:t>, p. 21.</w:t>
      </w:r>
    </w:p>
    <w:p w14:paraId="1140D69D" w14:textId="77777777" w:rsidR="00D84031" w:rsidRDefault="007965BB">
      <w:pPr>
        <w:pStyle w:val="footnote2"/>
      </w:pPr>
      <w:hyperlink r:id="rId162">
        <w:r>
          <w:rPr>
            <w:color w:val="0000FF"/>
            <w:szCs w:val="20"/>
            <w:u w:val="single"/>
          </w:rPr>
          <w:t>https://www.e-unwto.org/doi/epdf/10.18111/9789284418978</w:t>
        </w:r>
      </w:hyperlink>
    </w:p>
  </w:footnote>
  <w:footnote w:id="138">
    <w:p w14:paraId="7F75FB6E" w14:textId="77777777" w:rsidR="00D84031" w:rsidRDefault="007965BB">
      <w:pPr>
        <w:pStyle w:val="footnote1"/>
      </w:pPr>
      <w:r>
        <w:rPr>
          <w:vertAlign w:val="superscript"/>
        </w:rPr>
        <w:footnoteRef/>
      </w:r>
      <w:r>
        <w:rPr>
          <w:vertAlign w:val="superscript"/>
        </w:rPr>
        <w:tab/>
      </w:r>
      <w:hyperlink r:id="rId163">
        <w:r>
          <w:rPr>
            <w:color w:val="0000FF"/>
            <w:szCs w:val="20"/>
            <w:u w:val="single"/>
          </w:rPr>
          <w:t>https://hadea.ec.europa.eu/calls-proposals/data-space-tourism_en</w:t>
        </w:r>
      </w:hyperlink>
    </w:p>
  </w:footnote>
  <w:footnote w:id="139">
    <w:p w14:paraId="6C3BA637" w14:textId="77777777" w:rsidR="00D84031" w:rsidRDefault="007965BB">
      <w:pPr>
        <w:pStyle w:val="footnote1"/>
      </w:pPr>
      <w:r>
        <w:rPr>
          <w:vertAlign w:val="superscript"/>
        </w:rPr>
        <w:footnoteRef/>
      </w:r>
      <w:r>
        <w:rPr>
          <w:vertAlign w:val="superscript"/>
        </w:rPr>
        <w:tab/>
      </w:r>
      <w:r>
        <w:rPr>
          <w:color w:val="000000"/>
        </w:rPr>
        <w:t xml:space="preserve">This </w:t>
      </w:r>
      <w:hyperlink r:id="rId164">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65">
        <w:r>
          <w:rPr>
            <w:color w:val="0000FF"/>
            <w:szCs w:val="20"/>
            <w:u w:val="single"/>
          </w:rPr>
          <w:t>https://ec.europa.eu/info/funding-tenders/opportunities/docs/2021-2027/horizon/guidance/ls-decision_he_en.pdf</w:t>
        </w:r>
      </w:hyperlink>
    </w:p>
  </w:footnote>
  <w:footnote w:id="140">
    <w:p w14:paraId="4764848A" w14:textId="77777777" w:rsidR="00D84031" w:rsidRDefault="007965BB">
      <w:pPr>
        <w:pStyle w:val="footnote1"/>
      </w:pPr>
      <w:r>
        <w:rPr>
          <w:vertAlign w:val="superscript"/>
        </w:rPr>
        <w:footnoteRef/>
      </w:r>
      <w:r>
        <w:rPr>
          <w:vertAlign w:val="superscript"/>
        </w:rPr>
        <w:tab/>
      </w:r>
      <w:hyperlink r:id="rId166">
        <w:r>
          <w:rPr>
            <w:color w:val="0000FF"/>
            <w:szCs w:val="20"/>
            <w:u w:val="single"/>
          </w:rPr>
          <w:t>https://commission.europa.eu/document/download/e6cd4328-673c-4e7a-8683-f63ffb2cf648_en?filename=Political%20Guidelines%202024-2029_EN.pdf</w:t>
        </w:r>
      </w:hyperlink>
    </w:p>
  </w:footnote>
  <w:footnote w:id="141">
    <w:p w14:paraId="763D8602" w14:textId="77777777" w:rsidR="00D84031" w:rsidRDefault="007965BB">
      <w:pPr>
        <w:pStyle w:val="footnote1"/>
      </w:pPr>
      <w:r>
        <w:rPr>
          <w:vertAlign w:val="superscript"/>
        </w:rPr>
        <w:footnoteRef/>
      </w:r>
      <w:r>
        <w:rPr>
          <w:vertAlign w:val="superscript"/>
        </w:rPr>
        <w:tab/>
      </w:r>
      <w:hyperlink r:id="rId167">
        <w:r>
          <w:rPr>
            <w:color w:val="0000FF"/>
            <w:szCs w:val="20"/>
            <w:u w:val="single"/>
          </w:rPr>
          <w:t>https://culture.ec.europa.eu/news/eurobarometer-publishes-findings-on-europeans-attitudes-towards-culture</w:t>
        </w:r>
      </w:hyperlink>
    </w:p>
  </w:footnote>
  <w:footnote w:id="142">
    <w:p w14:paraId="314AFFCD" w14:textId="77777777" w:rsidR="00D84031" w:rsidRDefault="007965BB">
      <w:pPr>
        <w:pStyle w:val="footnote1"/>
      </w:pPr>
      <w:r>
        <w:rPr>
          <w:vertAlign w:val="superscript"/>
        </w:rPr>
        <w:footnoteRef/>
      </w:r>
      <w:r>
        <w:rPr>
          <w:vertAlign w:val="superscript"/>
        </w:rPr>
        <w:tab/>
      </w:r>
      <w:hyperlink r:id="rId168">
        <w:r>
          <w:rPr>
            <w:color w:val="0000FF"/>
            <w:szCs w:val="20"/>
            <w:u w:val="single"/>
          </w:rPr>
          <w:t>Culture and democracy, the evidence - Publications Office of the EU</w:t>
        </w:r>
      </w:hyperlink>
    </w:p>
  </w:footnote>
  <w:footnote w:id="143">
    <w:p w14:paraId="254425BB" w14:textId="77777777" w:rsidR="00D84031" w:rsidRDefault="007965BB">
      <w:pPr>
        <w:pStyle w:val="footnote1"/>
      </w:pPr>
      <w:r>
        <w:rPr>
          <w:vertAlign w:val="superscript"/>
        </w:rPr>
        <w:footnoteRef/>
      </w:r>
      <w:r>
        <w:rPr>
          <w:vertAlign w:val="superscript"/>
        </w:rPr>
        <w:tab/>
      </w:r>
      <w:r>
        <w:rPr>
          <w:color w:val="000000"/>
        </w:rPr>
        <w:t xml:space="preserve">This </w:t>
      </w:r>
      <w:hyperlink r:id="rId16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70">
        <w:r>
          <w:rPr>
            <w:color w:val="0000FF"/>
            <w:szCs w:val="20"/>
            <w:u w:val="single"/>
          </w:rPr>
          <w:t>https://ec.europa.eu/info/funding-tenders/opportunities/docs/2021-2027/horizon/guidance/ls-decision_he_en.pdf</w:t>
        </w:r>
      </w:hyperlink>
    </w:p>
  </w:footnote>
  <w:footnote w:id="144">
    <w:p w14:paraId="42682AA2" w14:textId="77777777" w:rsidR="00D84031" w:rsidRDefault="007965BB">
      <w:pPr>
        <w:pStyle w:val="footnote1"/>
      </w:pPr>
      <w:r>
        <w:rPr>
          <w:vertAlign w:val="superscript"/>
        </w:rPr>
        <w:footnoteRef/>
      </w:r>
      <w:r>
        <w:rPr>
          <w:vertAlign w:val="superscript"/>
        </w:rPr>
        <w:tab/>
      </w:r>
      <w:hyperlink r:id="rId171">
        <w:r>
          <w:rPr>
            <w:color w:val="0000FF"/>
            <w:szCs w:val="20"/>
            <w:u w:val="single"/>
          </w:rPr>
          <w:t>https://ich.unesco.org/en/convention</w:t>
        </w:r>
      </w:hyperlink>
    </w:p>
  </w:footnote>
  <w:footnote w:id="145">
    <w:p w14:paraId="31386F6E" w14:textId="77777777" w:rsidR="00D84031" w:rsidRDefault="007965BB">
      <w:pPr>
        <w:pStyle w:val="footnote1"/>
      </w:pPr>
      <w:r>
        <w:rPr>
          <w:vertAlign w:val="superscript"/>
        </w:rPr>
        <w:footnoteRef/>
      </w:r>
      <w:r>
        <w:rPr>
          <w:vertAlign w:val="superscript"/>
        </w:rPr>
        <w:tab/>
      </w:r>
      <w:r>
        <w:rPr>
          <w:color w:val="000000"/>
        </w:rPr>
        <w:t xml:space="preserve">This </w:t>
      </w:r>
      <w:hyperlink r:id="rId17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73">
        <w:r>
          <w:rPr>
            <w:color w:val="0000FF"/>
            <w:szCs w:val="20"/>
            <w:u w:val="single"/>
          </w:rPr>
          <w:t>https://ec.europa.eu/info/funding-tenders/opportunities/docs/2021-2027/horizon/guidance/ls-decision_he_en.pdf</w:t>
        </w:r>
      </w:hyperlink>
    </w:p>
  </w:footnote>
  <w:footnote w:id="146">
    <w:p w14:paraId="5D179BFC" w14:textId="77777777" w:rsidR="00D84031" w:rsidRDefault="007965BB">
      <w:pPr>
        <w:pStyle w:val="footnote1"/>
      </w:pPr>
      <w:r>
        <w:rPr>
          <w:vertAlign w:val="superscript"/>
        </w:rPr>
        <w:footnoteRef/>
      </w:r>
      <w:r>
        <w:rPr>
          <w:vertAlign w:val="superscript"/>
        </w:rPr>
        <w:tab/>
      </w:r>
      <w:r>
        <w:rPr>
          <w:color w:val="000000"/>
        </w:rPr>
        <w:t xml:space="preserve">CCIs as defined in the European Parliament Resolution ‘A coherent EU policy for cultural and creative industries’: </w:t>
      </w:r>
      <w:hyperlink r:id="rId174">
        <w:r>
          <w:rPr>
            <w:color w:val="0000FF"/>
            <w:szCs w:val="20"/>
            <w:u w:val="single"/>
          </w:rPr>
          <w:t>https://eur-lex.europa.eu/legal-content/EN/TXT/PDF/?uri=CELEX:52016IP0486&amp;from=EN</w:t>
        </w:r>
      </w:hyperlink>
    </w:p>
  </w:footnote>
  <w:footnote w:id="147">
    <w:p w14:paraId="6DC80842" w14:textId="77777777" w:rsidR="00D84031" w:rsidRDefault="007965BB">
      <w:pPr>
        <w:pStyle w:val="footnote1"/>
      </w:pPr>
      <w:r>
        <w:rPr>
          <w:vertAlign w:val="superscript"/>
        </w:rPr>
        <w:footnoteRef/>
      </w:r>
      <w:r>
        <w:rPr>
          <w:vertAlign w:val="superscript"/>
        </w:rPr>
        <w:tab/>
      </w:r>
      <w:hyperlink r:id="rId175">
        <w:r>
          <w:rPr>
            <w:color w:val="0000FF"/>
            <w:szCs w:val="20"/>
            <w:u w:val="single"/>
          </w:rPr>
          <w:t>https://op.europa.eu/en/publication-detail/-/publication/6abcc8e7-e685-11ee-8b2b-01aa75ed71a1/language-en</w:t>
        </w:r>
      </w:hyperlink>
    </w:p>
  </w:footnote>
  <w:footnote w:id="148">
    <w:p w14:paraId="2DF1B387" w14:textId="77777777" w:rsidR="00D84031" w:rsidRDefault="007965BB">
      <w:pPr>
        <w:pStyle w:val="footnote1"/>
      </w:pPr>
      <w:r>
        <w:rPr>
          <w:vertAlign w:val="superscript"/>
        </w:rPr>
        <w:footnoteRef/>
      </w:r>
      <w:r>
        <w:rPr>
          <w:vertAlign w:val="superscript"/>
        </w:rPr>
        <w:tab/>
      </w:r>
      <w:hyperlink r:id="rId176">
        <w:r>
          <w:rPr>
            <w:color w:val="0000FF"/>
            <w:szCs w:val="20"/>
            <w:u w:val="single"/>
          </w:rPr>
          <w:t>https://eur-lex.europa.eu/legal-content/EN/TXT/?uri=celex%3A52021DC0101</w:t>
        </w:r>
      </w:hyperlink>
    </w:p>
  </w:footnote>
  <w:footnote w:id="149">
    <w:p w14:paraId="2C811D15" w14:textId="77777777" w:rsidR="00D84031" w:rsidRDefault="007965BB">
      <w:pPr>
        <w:pStyle w:val="footnote1"/>
      </w:pPr>
      <w:r>
        <w:rPr>
          <w:vertAlign w:val="superscript"/>
        </w:rPr>
        <w:footnoteRef/>
      </w:r>
      <w:r>
        <w:rPr>
          <w:vertAlign w:val="superscript"/>
        </w:rPr>
        <w:tab/>
      </w:r>
      <w:hyperlink r:id="rId177">
        <w:r>
          <w:rPr>
            <w:color w:val="0000FF"/>
            <w:szCs w:val="20"/>
            <w:u w:val="single"/>
          </w:rPr>
          <w:t>https://www.ohchr.org/en/instruments-mechanisms/instruments/convention-rights-persons-disabilities</w:t>
        </w:r>
      </w:hyperlink>
    </w:p>
  </w:footnote>
  <w:footnote w:id="150">
    <w:p w14:paraId="70457CB4" w14:textId="77777777" w:rsidR="00D84031" w:rsidRDefault="007965BB">
      <w:pPr>
        <w:pStyle w:val="footnote1"/>
      </w:pPr>
      <w:r>
        <w:rPr>
          <w:vertAlign w:val="superscript"/>
        </w:rPr>
        <w:footnoteRef/>
      </w:r>
      <w:r>
        <w:rPr>
          <w:vertAlign w:val="superscript"/>
        </w:rPr>
        <w:tab/>
      </w:r>
      <w:hyperlink r:id="rId178">
        <w:r>
          <w:rPr>
            <w:color w:val="0000FF"/>
            <w:szCs w:val="20"/>
            <w:u w:val="single"/>
          </w:rPr>
          <w:t>https://ri-portfolio.esfri.eu/</w:t>
        </w:r>
      </w:hyperlink>
      <w:r>
        <w:rPr>
          <w:color w:val="000000"/>
        </w:rPr>
        <w:t xml:space="preserve"> for example CESSDA - Consortium of European Social Science Data Archives</w:t>
      </w:r>
    </w:p>
  </w:footnote>
  <w:footnote w:id="151">
    <w:p w14:paraId="34CDE992" w14:textId="77777777" w:rsidR="00D84031" w:rsidRDefault="007965BB">
      <w:pPr>
        <w:pStyle w:val="footnote1"/>
      </w:pPr>
      <w:r>
        <w:rPr>
          <w:vertAlign w:val="superscript"/>
        </w:rPr>
        <w:footnoteRef/>
      </w:r>
      <w:r>
        <w:rPr>
          <w:vertAlign w:val="superscript"/>
        </w:rPr>
        <w:tab/>
      </w:r>
      <w:r>
        <w:rPr>
          <w:color w:val="000000"/>
        </w:rPr>
        <w:t>With an additional three years to wind down, i.e. administer and report on FSTP projects launched with the last calls.</w:t>
      </w:r>
    </w:p>
  </w:footnote>
  <w:footnote w:id="152">
    <w:p w14:paraId="5A865A55" w14:textId="77777777" w:rsidR="00D84031" w:rsidRDefault="007965BB">
      <w:pPr>
        <w:pStyle w:val="footnote1"/>
      </w:pPr>
      <w:r>
        <w:rPr>
          <w:vertAlign w:val="superscript"/>
        </w:rPr>
        <w:footnoteRef/>
      </w:r>
      <w:r>
        <w:rPr>
          <w:vertAlign w:val="superscript"/>
        </w:rPr>
        <w:tab/>
      </w:r>
      <w:r>
        <w:rPr>
          <w:color w:val="000000"/>
        </w:rPr>
        <w:t>In line with rules for Horizon Europe on working with EU’s Decentralised Agencies.</w:t>
      </w:r>
    </w:p>
  </w:footnote>
  <w:footnote w:id="153">
    <w:p w14:paraId="6F4455FA" w14:textId="77777777" w:rsidR="00D84031" w:rsidRDefault="007965BB">
      <w:pPr>
        <w:pStyle w:val="footnote1"/>
      </w:pPr>
      <w:r>
        <w:rPr>
          <w:vertAlign w:val="superscript"/>
        </w:rPr>
        <w:footnoteRef/>
      </w:r>
      <w:r>
        <w:rPr>
          <w:vertAlign w:val="superscript"/>
        </w:rPr>
        <w:tab/>
      </w:r>
      <w:r>
        <w:rPr>
          <w:color w:val="000000"/>
        </w:rPr>
        <w:t>Any eligible activity that is distinct from and complements the financial support to third parties/joint transnational calls and contributes to the objectives of the partnership.</w:t>
      </w:r>
    </w:p>
  </w:footnote>
  <w:footnote w:id="154">
    <w:p w14:paraId="2BA355A0" w14:textId="77777777" w:rsidR="00D84031" w:rsidRDefault="007965BB">
      <w:pPr>
        <w:pStyle w:val="footnote1"/>
      </w:pPr>
      <w:r>
        <w:rPr>
          <w:vertAlign w:val="superscript"/>
        </w:rPr>
        <w:footnoteRef/>
      </w:r>
      <w:r>
        <w:rPr>
          <w:vertAlign w:val="superscript"/>
        </w:rPr>
        <w:tab/>
      </w:r>
      <w:r>
        <w:rPr>
          <w:color w:val="000000"/>
        </w:rPr>
        <w:t xml:space="preserve">This </w:t>
      </w:r>
      <w:hyperlink r:id="rId17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80">
        <w:r>
          <w:rPr>
            <w:color w:val="0000FF"/>
            <w:szCs w:val="20"/>
            <w:u w:val="single"/>
          </w:rPr>
          <w:t>https://ec.europa.eu/info/funding-tenders/opportunities/docs/2021-2027/horizon/guidance/ls-decision_he_en.pdf</w:t>
        </w:r>
      </w:hyperlink>
    </w:p>
  </w:footnote>
  <w:footnote w:id="155">
    <w:p w14:paraId="3418B411" w14:textId="77777777" w:rsidR="00D84031" w:rsidRDefault="007965BB">
      <w:pPr>
        <w:pStyle w:val="footnote1"/>
      </w:pPr>
      <w:r>
        <w:rPr>
          <w:vertAlign w:val="superscript"/>
        </w:rPr>
        <w:footnoteRef/>
      </w:r>
      <w:r>
        <w:rPr>
          <w:vertAlign w:val="superscript"/>
        </w:rPr>
        <w:tab/>
      </w:r>
      <w:hyperlink r:id="rId181">
        <w:r>
          <w:rPr>
            <w:color w:val="0000FF"/>
            <w:szCs w:val="20"/>
            <w:u w:val="single"/>
          </w:rPr>
          <w:t>https://commission.europa.eu/topics/eu-competitiveness/draghi-report_en</w:t>
        </w:r>
      </w:hyperlink>
    </w:p>
  </w:footnote>
  <w:footnote w:id="156">
    <w:p w14:paraId="32C0BAF5" w14:textId="77777777" w:rsidR="00D84031" w:rsidRDefault="007965BB">
      <w:pPr>
        <w:pStyle w:val="footnote1"/>
      </w:pPr>
      <w:r>
        <w:rPr>
          <w:vertAlign w:val="superscript"/>
        </w:rPr>
        <w:footnoteRef/>
      </w:r>
      <w:r>
        <w:rPr>
          <w:vertAlign w:val="superscript"/>
        </w:rPr>
        <w:tab/>
      </w:r>
      <w:r>
        <w:rPr>
          <w:color w:val="000000"/>
        </w:rPr>
        <w:t xml:space="preserve">This </w:t>
      </w:r>
      <w:hyperlink r:id="rId18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83">
        <w:r>
          <w:rPr>
            <w:color w:val="0000FF"/>
            <w:szCs w:val="20"/>
            <w:u w:val="single"/>
          </w:rPr>
          <w:t>https://ec.europa.eu/info/funding-tenders/opportunities/docs/2021-2027/horizon/guidance/ls-decision_he_en.pdf</w:t>
        </w:r>
      </w:hyperlink>
    </w:p>
  </w:footnote>
  <w:footnote w:id="157">
    <w:p w14:paraId="26D1071F" w14:textId="77777777" w:rsidR="00D84031" w:rsidRDefault="007965BB">
      <w:pPr>
        <w:pStyle w:val="footnote1"/>
      </w:pPr>
      <w:r>
        <w:rPr>
          <w:vertAlign w:val="superscript"/>
        </w:rPr>
        <w:footnoteRef/>
      </w:r>
      <w:r>
        <w:rPr>
          <w:vertAlign w:val="superscript"/>
        </w:rPr>
        <w:tab/>
      </w:r>
      <w:r>
        <w:rPr>
          <w:color w:val="000000"/>
        </w:rPr>
        <w:t xml:space="preserve">This </w:t>
      </w:r>
      <w:hyperlink r:id="rId184">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85">
        <w:r>
          <w:rPr>
            <w:color w:val="0000FF"/>
            <w:szCs w:val="20"/>
            <w:u w:val="single"/>
          </w:rPr>
          <w:t>https://ec.europa.eu/info/funding-tenders/opportunities/docs/2021-2027/horizon/guidance/ls-decision_he_en.pdf</w:t>
        </w:r>
      </w:hyperlink>
    </w:p>
  </w:footnote>
  <w:footnote w:id="158">
    <w:p w14:paraId="3C0AF9FE" w14:textId="77777777" w:rsidR="00D84031" w:rsidRDefault="007965BB">
      <w:pPr>
        <w:pStyle w:val="footnote1"/>
      </w:pPr>
      <w:r>
        <w:rPr>
          <w:vertAlign w:val="superscript"/>
        </w:rPr>
        <w:footnoteRef/>
      </w:r>
      <w:r>
        <w:rPr>
          <w:vertAlign w:val="superscript"/>
        </w:rPr>
        <w:tab/>
      </w:r>
      <w:r>
        <w:rPr>
          <w:color w:val="000000"/>
        </w:rPr>
        <w:t xml:space="preserve">This </w:t>
      </w:r>
      <w:hyperlink r:id="rId18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87">
        <w:r>
          <w:rPr>
            <w:color w:val="0000FF"/>
            <w:szCs w:val="20"/>
            <w:u w:val="single"/>
          </w:rPr>
          <w:t>https://ec.europa.eu/info/funding-tenders/opportunities/docs/2021-2027/horizon/guidance/ls-decision_he_en.pdf</w:t>
        </w:r>
      </w:hyperlink>
    </w:p>
  </w:footnote>
  <w:footnote w:id="159">
    <w:p w14:paraId="0C2554ED" w14:textId="77777777" w:rsidR="00D84031" w:rsidRDefault="007965BB">
      <w:pPr>
        <w:pStyle w:val="footnote1"/>
      </w:pPr>
      <w:r>
        <w:rPr>
          <w:vertAlign w:val="superscript"/>
        </w:rPr>
        <w:footnoteRef/>
      </w:r>
      <w:r>
        <w:rPr>
          <w:vertAlign w:val="superscript"/>
        </w:rPr>
        <w:tab/>
      </w:r>
      <w:hyperlink r:id="rId188">
        <w:r>
          <w:rPr>
            <w:color w:val="0000FF"/>
            <w:szCs w:val="20"/>
            <w:u w:val="single"/>
          </w:rPr>
          <w:t>https://commission.europa.eu/topics/eu-competitiveness/draghi-report_en</w:t>
        </w:r>
      </w:hyperlink>
    </w:p>
  </w:footnote>
  <w:footnote w:id="160">
    <w:p w14:paraId="0F37BECC" w14:textId="77777777" w:rsidR="00D84031" w:rsidRDefault="007965BB">
      <w:pPr>
        <w:pStyle w:val="footnote1"/>
      </w:pPr>
      <w:r>
        <w:rPr>
          <w:vertAlign w:val="superscript"/>
        </w:rPr>
        <w:footnoteRef/>
      </w:r>
      <w:r>
        <w:rPr>
          <w:vertAlign w:val="superscript"/>
        </w:rPr>
        <w:tab/>
      </w:r>
      <w:r>
        <w:rPr>
          <w:color w:val="000000"/>
        </w:rPr>
        <w:t xml:space="preserve">This </w:t>
      </w:r>
      <w:hyperlink r:id="rId18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90">
        <w:r>
          <w:rPr>
            <w:color w:val="0000FF"/>
            <w:szCs w:val="20"/>
            <w:u w:val="single"/>
          </w:rPr>
          <w:t>https://ec.europa.eu/info/funding-tenders/opportunities/docs/2021-2027/horizon/guidance/ls-decision_he_en.pdf</w:t>
        </w:r>
      </w:hyperlink>
    </w:p>
  </w:footnote>
  <w:footnote w:id="161">
    <w:p w14:paraId="689F6283" w14:textId="77777777" w:rsidR="00D84031" w:rsidRDefault="007965BB">
      <w:pPr>
        <w:pStyle w:val="footnote1"/>
      </w:pPr>
      <w:r>
        <w:rPr>
          <w:vertAlign w:val="superscript"/>
        </w:rPr>
        <w:footnoteRef/>
      </w:r>
      <w:r>
        <w:rPr>
          <w:vertAlign w:val="superscript"/>
        </w:rPr>
        <w:tab/>
      </w:r>
      <w:r>
        <w:rPr>
          <w:color w:val="000000"/>
        </w:rPr>
        <w:t xml:space="preserve">This </w:t>
      </w:r>
      <w:hyperlink r:id="rId19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92">
        <w:r>
          <w:rPr>
            <w:color w:val="0000FF"/>
            <w:szCs w:val="20"/>
            <w:u w:val="single"/>
          </w:rPr>
          <w:t>https://ec.europa.eu/info/funding-tenders/opportunities/docs/2021-2027/horizon/guidance/ls-decision_he_en.pdf</w:t>
        </w:r>
      </w:hyperlink>
    </w:p>
  </w:footnote>
  <w:footnote w:id="162">
    <w:p w14:paraId="45932397" w14:textId="77777777" w:rsidR="00D84031" w:rsidRDefault="007965BB">
      <w:pPr>
        <w:pStyle w:val="footnote1"/>
      </w:pPr>
      <w:r>
        <w:rPr>
          <w:vertAlign w:val="superscript"/>
        </w:rPr>
        <w:footnoteRef/>
      </w:r>
      <w:r>
        <w:rPr>
          <w:vertAlign w:val="superscript"/>
        </w:rPr>
        <w:tab/>
      </w:r>
      <w:hyperlink r:id="rId193">
        <w:r>
          <w:rPr>
            <w:color w:val="0000FF"/>
            <w:szCs w:val="20"/>
            <w:u w:val="single"/>
          </w:rPr>
          <w:t>GreenComp</w:t>
        </w:r>
      </w:hyperlink>
      <w:r>
        <w:rPr>
          <w:color w:val="000000"/>
        </w:rPr>
        <w:t>, the European competence framework on sustainability, provides a conceptual model on the knowledge, skills and attitudes which support sustainability in a lifelong learning context.</w:t>
      </w:r>
    </w:p>
  </w:footnote>
  <w:footnote w:id="163">
    <w:p w14:paraId="38C93631" w14:textId="77777777" w:rsidR="00D84031" w:rsidRDefault="007965BB">
      <w:pPr>
        <w:pStyle w:val="footnote1"/>
      </w:pPr>
      <w:r>
        <w:rPr>
          <w:vertAlign w:val="superscript"/>
        </w:rPr>
        <w:footnoteRef/>
      </w:r>
      <w:r>
        <w:rPr>
          <w:vertAlign w:val="superscript"/>
        </w:rPr>
        <w:tab/>
      </w:r>
      <w:r>
        <w:rPr>
          <w:color w:val="000000"/>
        </w:rPr>
        <w:t>https://www.cedefop.europa.eu/files/9197_en.pdf</w:t>
      </w:r>
    </w:p>
  </w:footnote>
  <w:footnote w:id="164">
    <w:p w14:paraId="1A30C394" w14:textId="77777777" w:rsidR="00D84031" w:rsidRDefault="007965BB">
      <w:pPr>
        <w:pStyle w:val="footnote1"/>
      </w:pPr>
      <w:r>
        <w:rPr>
          <w:vertAlign w:val="superscript"/>
        </w:rPr>
        <w:footnoteRef/>
      </w:r>
      <w:r>
        <w:rPr>
          <w:vertAlign w:val="superscript"/>
        </w:rPr>
        <w:tab/>
      </w:r>
      <w:r>
        <w:rPr>
          <w:color w:val="000000"/>
        </w:rPr>
        <w:t xml:space="preserve">This </w:t>
      </w:r>
      <w:hyperlink r:id="rId194">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95">
        <w:r>
          <w:rPr>
            <w:color w:val="0000FF"/>
            <w:szCs w:val="20"/>
            <w:u w:val="single"/>
          </w:rPr>
          <w:t>https://ec.europa.eu/info/funding-tenders/opportunities/docs/2021-2027/horizon/guidance/ls-decision_he_en.pdf</w:t>
        </w:r>
      </w:hyperlink>
    </w:p>
  </w:footnote>
  <w:footnote w:id="165">
    <w:p w14:paraId="5BCBCD12" w14:textId="77777777" w:rsidR="00D84031" w:rsidRDefault="007965BB">
      <w:pPr>
        <w:pStyle w:val="footnote1"/>
      </w:pPr>
      <w:r>
        <w:rPr>
          <w:vertAlign w:val="superscript"/>
        </w:rPr>
        <w:footnoteRef/>
      </w:r>
      <w:r>
        <w:rPr>
          <w:vertAlign w:val="superscript"/>
        </w:rPr>
        <w:tab/>
      </w:r>
      <w:hyperlink r:id="rId196">
        <w:r>
          <w:rPr>
            <w:color w:val="0000FF"/>
            <w:szCs w:val="20"/>
            <w:u w:val="single"/>
          </w:rPr>
          <w:t>https://home-affairs.ec.europa.eu/policies/migration-and-asylum/pact-migration-and-asylum_en</w:t>
        </w:r>
      </w:hyperlink>
    </w:p>
  </w:footnote>
  <w:footnote w:id="166">
    <w:p w14:paraId="3487103E" w14:textId="77777777" w:rsidR="00D84031" w:rsidRDefault="007965BB">
      <w:pPr>
        <w:pStyle w:val="footnote1"/>
      </w:pPr>
      <w:r>
        <w:rPr>
          <w:vertAlign w:val="superscript"/>
        </w:rPr>
        <w:footnoteRef/>
      </w:r>
      <w:r>
        <w:rPr>
          <w:vertAlign w:val="superscript"/>
        </w:rPr>
        <w:tab/>
      </w:r>
      <w:r>
        <w:rPr>
          <w:color w:val="000000"/>
        </w:rPr>
        <w:t>Integration should be understood as a two-way process.</w:t>
      </w:r>
    </w:p>
  </w:footnote>
  <w:footnote w:id="167">
    <w:p w14:paraId="3C86F929" w14:textId="77777777" w:rsidR="00D84031" w:rsidRDefault="007965BB">
      <w:pPr>
        <w:pStyle w:val="footnote1"/>
      </w:pPr>
      <w:r>
        <w:rPr>
          <w:vertAlign w:val="superscript"/>
        </w:rPr>
        <w:footnoteRef/>
      </w:r>
      <w:r>
        <w:rPr>
          <w:vertAlign w:val="superscript"/>
        </w:rPr>
        <w:tab/>
      </w:r>
      <w:r>
        <w:rPr>
          <w:color w:val="000000"/>
        </w:rPr>
        <w:t xml:space="preserve">This </w:t>
      </w:r>
      <w:hyperlink r:id="rId19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98">
        <w:r>
          <w:rPr>
            <w:color w:val="0000FF"/>
            <w:szCs w:val="20"/>
            <w:u w:val="single"/>
          </w:rPr>
          <w:t>https://ec.europa.eu/info/funding-tenders/opportunities/docs/2021-2027/horizon/guidance/ls-decision_he_en.pdf</w:t>
        </w:r>
      </w:hyperlink>
    </w:p>
  </w:footnote>
  <w:footnote w:id="168">
    <w:p w14:paraId="21115D2F" w14:textId="77777777" w:rsidR="00D84031" w:rsidRDefault="007965BB">
      <w:pPr>
        <w:pStyle w:val="footnote1"/>
      </w:pPr>
      <w:r>
        <w:rPr>
          <w:vertAlign w:val="superscript"/>
        </w:rPr>
        <w:footnoteRef/>
      </w:r>
      <w:r>
        <w:rPr>
          <w:vertAlign w:val="superscript"/>
        </w:rPr>
        <w:tab/>
      </w:r>
      <w:r>
        <w:rPr>
          <w:color w:val="000000"/>
          <w:u w:val="single"/>
        </w:rPr>
        <w:t xml:space="preserve"> See </w:t>
      </w:r>
      <w:hyperlink r:id="rId199">
        <w:r>
          <w:rPr>
            <w:color w:val="0000FF"/>
            <w:szCs w:val="20"/>
            <w:u w:val="single"/>
          </w:rPr>
          <w:t>https://www.thcspartnership.eu/</w:t>
        </w:r>
      </w:hyperlink>
      <w:r>
        <w:rPr>
          <w:color w:val="000000"/>
          <w:u w:val="single"/>
        </w:rPr>
        <w:t xml:space="preserve"> or </w:t>
      </w:r>
      <w:hyperlink r:id="rId200">
        <w:r>
          <w:rPr>
            <w:color w:val="0000FF"/>
            <w:szCs w:val="20"/>
            <w:u w:val="single"/>
          </w:rPr>
          <w:t>https://cordis.europa.eu/project/id/101095654</w:t>
        </w:r>
      </w:hyperlink>
    </w:p>
  </w:footnote>
  <w:footnote w:id="169">
    <w:p w14:paraId="32308BE6" w14:textId="77777777" w:rsidR="00D84031" w:rsidRDefault="007965BB">
      <w:pPr>
        <w:pStyle w:val="footnote1"/>
      </w:pPr>
      <w:r>
        <w:rPr>
          <w:vertAlign w:val="superscript"/>
        </w:rPr>
        <w:footnoteRef/>
      </w:r>
      <w:r>
        <w:rPr>
          <w:vertAlign w:val="superscript"/>
        </w:rPr>
        <w:tab/>
      </w:r>
      <w:hyperlink r:id="rId201">
        <w:r>
          <w:rPr>
            <w:color w:val="0000FF"/>
            <w:szCs w:val="20"/>
            <w:u w:val="single"/>
          </w:rPr>
          <w:t>https://ri-portfolio.esfri.eu/ri-portfolio/table/</w:t>
        </w:r>
      </w:hyperlink>
    </w:p>
  </w:footnote>
  <w:footnote w:id="170">
    <w:p w14:paraId="0B73B666" w14:textId="77777777" w:rsidR="00D84031" w:rsidRDefault="007965BB">
      <w:pPr>
        <w:pStyle w:val="footnote1"/>
      </w:pPr>
      <w:r>
        <w:rPr>
          <w:vertAlign w:val="superscript"/>
        </w:rPr>
        <w:footnoteRef/>
      </w:r>
      <w:r>
        <w:rPr>
          <w:vertAlign w:val="superscript"/>
        </w:rPr>
        <w:tab/>
      </w:r>
      <w:hyperlink r:id="rId202">
        <w:r>
          <w:rPr>
            <w:color w:val="0000FF"/>
            <w:szCs w:val="20"/>
            <w:u w:val="single"/>
          </w:rPr>
          <w:t>https://employment-social-affairs.ec.europa.eu/policies-and-activities/social-protection-social-inclusion/social-protection/long-term-care_en</w:t>
        </w:r>
      </w:hyperlink>
    </w:p>
  </w:footnote>
  <w:footnote w:id="171">
    <w:p w14:paraId="7129113D" w14:textId="77777777" w:rsidR="00D84031" w:rsidRDefault="007965BB">
      <w:pPr>
        <w:pStyle w:val="footnote1"/>
      </w:pPr>
      <w:r>
        <w:rPr>
          <w:vertAlign w:val="superscript"/>
        </w:rPr>
        <w:footnoteRef/>
      </w:r>
      <w:r>
        <w:rPr>
          <w:vertAlign w:val="superscript"/>
        </w:rPr>
        <w:tab/>
      </w:r>
      <w:r>
        <w:rPr>
          <w:color w:val="000000"/>
        </w:rPr>
        <w:t>DG JRC research activity on long-term care and demography aims to analyse the prevalence of neurodegenerative diseases (such as dementia) and implication on LTC demand and analysis of household composition (family structure changes) and implications on LTC provision.</w:t>
      </w:r>
    </w:p>
  </w:footnote>
  <w:footnote w:id="172">
    <w:p w14:paraId="4F87351D" w14:textId="77777777" w:rsidR="00D84031" w:rsidRDefault="007965BB">
      <w:pPr>
        <w:pStyle w:val="footnote1"/>
      </w:pPr>
      <w:r>
        <w:rPr>
          <w:vertAlign w:val="superscript"/>
        </w:rPr>
        <w:footnoteRef/>
      </w:r>
      <w:r>
        <w:rPr>
          <w:vertAlign w:val="superscript"/>
        </w:rPr>
        <w:tab/>
      </w:r>
      <w:hyperlink r:id="rId203">
        <w:r>
          <w:rPr>
            <w:color w:val="0000FF"/>
            <w:szCs w:val="20"/>
            <w:u w:val="single"/>
          </w:rPr>
          <w:t>https://ec.europa.eu/info/funding-tenders/opportunities/portal/screen/opportunities/topic-details/horizon-cl2-2022-transformations-01-10</w:t>
        </w:r>
      </w:hyperlink>
    </w:p>
  </w:footnote>
  <w:footnote w:id="173">
    <w:p w14:paraId="110D7F5E" w14:textId="77777777" w:rsidR="00D84031" w:rsidRDefault="007965BB">
      <w:pPr>
        <w:pStyle w:val="footnote1"/>
      </w:pPr>
      <w:r>
        <w:rPr>
          <w:vertAlign w:val="superscript"/>
        </w:rPr>
        <w:footnoteRef/>
      </w:r>
      <w:r>
        <w:rPr>
          <w:vertAlign w:val="superscript"/>
        </w:rPr>
        <w:tab/>
      </w:r>
      <w:hyperlink r:id="rId204">
        <w:r>
          <w:rPr>
            <w:color w:val="0000FF"/>
            <w:szCs w:val="20"/>
            <w:u w:val="single"/>
          </w:rPr>
          <w:t>https://ec.europa.eu/info/funding-tenders/opportunities/portal/screen/opportunities/topic-details/horizon-cl2-2023-transformations-01-08</w:t>
        </w:r>
      </w:hyperlink>
    </w:p>
  </w:footnote>
  <w:footnote w:id="174">
    <w:p w14:paraId="4DDBE6DB" w14:textId="77777777" w:rsidR="00D84031" w:rsidRDefault="007965BB">
      <w:pPr>
        <w:pStyle w:val="footnote1"/>
      </w:pPr>
      <w:r>
        <w:rPr>
          <w:vertAlign w:val="superscript"/>
        </w:rPr>
        <w:footnoteRef/>
      </w:r>
      <w:r>
        <w:rPr>
          <w:vertAlign w:val="superscript"/>
        </w:rPr>
        <w:tab/>
      </w:r>
      <w:r>
        <w:rPr>
          <w:color w:val="000000"/>
        </w:rPr>
        <w:t xml:space="preserve">This </w:t>
      </w:r>
      <w:hyperlink r:id="rId20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06">
        <w:r>
          <w:rPr>
            <w:color w:val="0000FF"/>
            <w:szCs w:val="20"/>
            <w:u w:val="single"/>
          </w:rPr>
          <w:t>https://ec.europa.eu/info/funding-tenders/opportunities/docs/2021-2027/horizon/guidance/ls-decision_he_en.pdf</w:t>
        </w:r>
      </w:hyperlink>
    </w:p>
  </w:footnote>
  <w:footnote w:id="175">
    <w:p w14:paraId="083431C2" w14:textId="77777777" w:rsidR="00D84031" w:rsidRDefault="007965BB">
      <w:pPr>
        <w:pStyle w:val="footnote1"/>
      </w:pPr>
      <w:r>
        <w:rPr>
          <w:vertAlign w:val="superscript"/>
        </w:rPr>
        <w:footnoteRef/>
      </w:r>
      <w:r>
        <w:rPr>
          <w:vertAlign w:val="superscript"/>
        </w:rPr>
        <w:tab/>
      </w:r>
      <w:r>
        <w:rPr>
          <w:color w:val="000000"/>
        </w:rPr>
        <w:t>SSH integration involves actively supporting interdisciplinary research and innovation that combines SSH with Science, Technology, Engineering, and Mathematics (STEM) to better address complex challenges such as climate change, public health issues, and technological innovation.</w:t>
      </w:r>
    </w:p>
  </w:footnote>
  <w:footnote w:id="176">
    <w:p w14:paraId="55659CEB" w14:textId="77777777" w:rsidR="00D84031" w:rsidRDefault="007965BB">
      <w:pPr>
        <w:pStyle w:val="footnote1"/>
      </w:pPr>
      <w:r>
        <w:rPr>
          <w:vertAlign w:val="superscript"/>
        </w:rPr>
        <w:footnoteRef/>
      </w:r>
      <w:r>
        <w:rPr>
          <w:vertAlign w:val="superscript"/>
        </w:rPr>
        <w:tab/>
      </w:r>
      <w:hyperlink r:id="rId207">
        <w:r>
          <w:rPr>
            <w:color w:val="0000FF"/>
            <w:szCs w:val="20"/>
            <w:u w:val="single"/>
          </w:rPr>
          <w:t>https://op.europa.eu/en/publication-detail/-/publication/2f9fc221-86bb-11ef-a67d-01aa75ed71a1/language-en</w:t>
        </w:r>
      </w:hyperlink>
    </w:p>
  </w:footnote>
  <w:footnote w:id="177">
    <w:p w14:paraId="3641BB1D" w14:textId="77777777" w:rsidR="00D84031" w:rsidRDefault="007965BB">
      <w:pPr>
        <w:pStyle w:val="footnote1"/>
      </w:pPr>
      <w:r>
        <w:rPr>
          <w:vertAlign w:val="superscript"/>
        </w:rPr>
        <w:footnoteRef/>
      </w:r>
      <w:r>
        <w:rPr>
          <w:vertAlign w:val="superscript"/>
        </w:rPr>
        <w:tab/>
      </w:r>
      <w:r>
        <w:rPr>
          <w:color w:val="000000"/>
        </w:rPr>
        <w:t>e.g. see the forthcoming ‘Integration of social sciences and humanities in Horizon 2020’-report and the ‘Horizon Europe Integration’-report for 2021-2023.</w:t>
      </w:r>
    </w:p>
  </w:footnote>
  <w:footnote w:id="178">
    <w:p w14:paraId="12B415EA" w14:textId="77777777" w:rsidR="00D84031" w:rsidRDefault="007965BB">
      <w:pPr>
        <w:pStyle w:val="footnote1"/>
      </w:pPr>
      <w:r>
        <w:rPr>
          <w:vertAlign w:val="superscript"/>
        </w:rPr>
        <w:footnoteRef/>
      </w:r>
      <w:r>
        <w:rPr>
          <w:vertAlign w:val="superscript"/>
        </w:rPr>
        <w:tab/>
      </w:r>
      <w:r>
        <w:rPr>
          <w:color w:val="000000"/>
        </w:rPr>
        <w:t xml:space="preserve">This </w:t>
      </w:r>
      <w:hyperlink r:id="rId20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09">
        <w:r>
          <w:rPr>
            <w:color w:val="0000FF"/>
            <w:szCs w:val="20"/>
            <w:u w:val="single"/>
          </w:rPr>
          <w:t>https://ec.europa.eu/info/funding-tenders/opportunities/docs/2021-2027/horizon/guidance/ls-decision_he_en.pdf</w:t>
        </w:r>
      </w:hyperlink>
    </w:p>
  </w:footnote>
  <w:footnote w:id="179">
    <w:p w14:paraId="21B96556" w14:textId="77777777" w:rsidR="00D84031" w:rsidRDefault="007965BB">
      <w:pPr>
        <w:pStyle w:val="footnote1"/>
      </w:pPr>
      <w:r>
        <w:rPr>
          <w:vertAlign w:val="superscript"/>
        </w:rPr>
        <w:footnoteRef/>
      </w:r>
      <w:r>
        <w:rPr>
          <w:vertAlign w:val="superscript"/>
        </w:rPr>
        <w:tab/>
      </w:r>
      <w:hyperlink r:id="rId210">
        <w:r>
          <w:rPr>
            <w:color w:val="0000FF"/>
            <w:szCs w:val="20"/>
            <w:u w:val="single"/>
          </w:rPr>
          <w:t>https://eur-lex.europa.eu/legal-content/EN/TXT/?uri=CELEX%3A32024R1991&amp;qid=1722240349976</w:t>
        </w:r>
      </w:hyperlink>
    </w:p>
  </w:footnote>
  <w:footnote w:id="180">
    <w:p w14:paraId="607157FA" w14:textId="77777777" w:rsidR="00D84031" w:rsidRDefault="007965BB">
      <w:pPr>
        <w:pStyle w:val="footnote1"/>
      </w:pPr>
      <w:r>
        <w:rPr>
          <w:vertAlign w:val="superscript"/>
        </w:rPr>
        <w:footnoteRef/>
      </w:r>
      <w:r>
        <w:rPr>
          <w:vertAlign w:val="superscript"/>
        </w:rPr>
        <w:tab/>
      </w:r>
      <w:r>
        <w:rPr>
          <w:color w:val="000000"/>
        </w:rPr>
        <w:t>The Green City Accord is a movement of European mayors committed to making cities cleaner and healthier. It aims to improve the quality of life for all Europeans and accelerate the implementation of relevant EU environmental laws. By signing the Accord, cities commit to addressing five areas of environmental management: air, water, nature and biodiversity, circular economy and waste, and noise. There are 119 signatory cities as of May 2025 (</w:t>
      </w:r>
      <w:hyperlink r:id="rId211">
        <w:r>
          <w:rPr>
            <w:color w:val="0000FF"/>
            <w:szCs w:val="20"/>
            <w:u w:val="single"/>
          </w:rPr>
          <w:t>https://environment.ec.europa.eu/topics/urban-environment/green-city-accord_en</w:t>
        </w:r>
      </w:hyperlink>
      <w:r>
        <w:rPr>
          <w:color w:val="000000"/>
        </w:rPr>
        <w:t>).</w:t>
      </w:r>
    </w:p>
  </w:footnote>
  <w:footnote w:id="181">
    <w:p w14:paraId="7748F373" w14:textId="77777777" w:rsidR="00D84031" w:rsidRDefault="007965BB">
      <w:pPr>
        <w:pStyle w:val="footnote1"/>
      </w:pPr>
      <w:r>
        <w:rPr>
          <w:vertAlign w:val="superscript"/>
        </w:rPr>
        <w:footnoteRef/>
      </w:r>
      <w:r>
        <w:rPr>
          <w:vertAlign w:val="superscript"/>
        </w:rPr>
        <w:tab/>
      </w:r>
      <w:r>
        <w:rPr>
          <w:color w:val="000000"/>
        </w:rPr>
        <w:t xml:space="preserve">This </w:t>
      </w:r>
      <w:hyperlink r:id="rId21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13">
        <w:r>
          <w:rPr>
            <w:color w:val="0000FF"/>
            <w:szCs w:val="20"/>
            <w:u w:val="single"/>
          </w:rPr>
          <w:t>https://ec.europa.eu/info/funding-tenders/opportunities/docs/2021-2027/horizon/guidance/ls-decision_he_en.pdf</w:t>
        </w:r>
      </w:hyperlink>
    </w:p>
  </w:footnote>
  <w:footnote w:id="182">
    <w:p w14:paraId="44B0769E" w14:textId="77777777" w:rsidR="00D84031" w:rsidRDefault="007965BB">
      <w:pPr>
        <w:pStyle w:val="footnote1"/>
      </w:pPr>
      <w:r>
        <w:rPr>
          <w:vertAlign w:val="superscript"/>
        </w:rPr>
        <w:footnoteRef/>
      </w:r>
      <w:r>
        <w:rPr>
          <w:vertAlign w:val="superscript"/>
        </w:rPr>
        <w:tab/>
      </w:r>
      <w:r>
        <w:rPr>
          <w:color w:val="000000"/>
        </w:rPr>
        <w:t xml:space="preserve">This </w:t>
      </w:r>
      <w:hyperlink r:id="rId214">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15">
        <w:r>
          <w:rPr>
            <w:color w:val="0000FF"/>
            <w:szCs w:val="20"/>
            <w:u w:val="single"/>
          </w:rPr>
          <w:t>https://ec.europa.eu/info/funding-tenders/opportunities/docs/2021-2027/horizon/guidance/ls-decision_he_en.pdf</w:t>
        </w:r>
      </w:hyperlink>
    </w:p>
  </w:footnote>
  <w:footnote w:id="183">
    <w:p w14:paraId="40C35E58" w14:textId="77777777" w:rsidR="00D84031" w:rsidRDefault="007965BB">
      <w:pPr>
        <w:pStyle w:val="footnote1"/>
      </w:pPr>
      <w:r>
        <w:rPr>
          <w:vertAlign w:val="superscript"/>
        </w:rPr>
        <w:footnoteRef/>
      </w:r>
      <w:r>
        <w:rPr>
          <w:vertAlign w:val="superscript"/>
        </w:rPr>
        <w:tab/>
      </w:r>
      <w:r>
        <w:rPr>
          <w:color w:val="000000"/>
        </w:rPr>
        <w:t>The social economy covers entities sharing the following main common principles and features: the primacy of people as well as social and/or environmental purpose over profit, the reinvestment of most of the profits and surpluses to carry out activities in the interest of members/users (“collective interest”) or society at large (“general interest”) and democratic and/or participatory governance. Traditionally, the term social economy refers to four main types of entities providing goods and services to th</w:t>
      </w:r>
      <w:r>
        <w:rPr>
          <w:color w:val="000000"/>
        </w:rPr>
        <w:t>eir members or society at large: cooperatives, mutual benefit societies, associations (including charities), and foundations. They are private entities, independent of public authorities and with specific legal forms. Social enterprises are now generally understood as part of the social economy. The social economy (associations, cooperatives, mutual societies, foundations, and social enterprises) provides monetary and non-monetary services, impacting on European sustainable competitiveness. Social economy a</w:t>
      </w:r>
      <w:r>
        <w:rPr>
          <w:color w:val="000000"/>
        </w:rPr>
        <w:t>ctors also have a different approach to their working environment due to the societal objectives of their employers and the democratic governance of their ecosystems.</w:t>
      </w:r>
    </w:p>
  </w:footnote>
  <w:footnote w:id="184">
    <w:p w14:paraId="220732BB" w14:textId="77777777" w:rsidR="00D84031" w:rsidRDefault="007965BB">
      <w:pPr>
        <w:pStyle w:val="footnote1"/>
      </w:pPr>
      <w:r>
        <w:rPr>
          <w:vertAlign w:val="superscript"/>
        </w:rPr>
        <w:footnoteRef/>
      </w:r>
      <w:r>
        <w:rPr>
          <w:vertAlign w:val="superscript"/>
        </w:rPr>
        <w:tab/>
      </w:r>
      <w:hyperlink r:id="rId216">
        <w:r>
          <w:rPr>
            <w:color w:val="0000FF"/>
            <w:szCs w:val="20"/>
            <w:u w:val="single"/>
          </w:rPr>
          <w:t>https://commission.europa.eu/document/download/e6cd4328-673c-4e7a-8683-f63ffb2cf648_en?filename=Political%20Guidelines%202024-2029_EN.pdf</w:t>
        </w:r>
      </w:hyperlink>
    </w:p>
  </w:footnote>
  <w:footnote w:id="185">
    <w:p w14:paraId="093204D5" w14:textId="77777777" w:rsidR="00D84031" w:rsidRDefault="007965BB">
      <w:pPr>
        <w:pStyle w:val="footnote1"/>
      </w:pPr>
      <w:r>
        <w:rPr>
          <w:vertAlign w:val="superscript"/>
        </w:rPr>
        <w:footnoteRef/>
      </w:r>
      <w:r>
        <w:rPr>
          <w:vertAlign w:val="superscript"/>
        </w:rPr>
        <w:tab/>
      </w:r>
      <w:r>
        <w:rPr>
          <w:color w:val="000000"/>
        </w:rPr>
        <w:t xml:space="preserve">This </w:t>
      </w:r>
      <w:hyperlink r:id="rId21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18">
        <w:r>
          <w:rPr>
            <w:color w:val="0000FF"/>
            <w:szCs w:val="20"/>
            <w:u w:val="single"/>
          </w:rPr>
          <w:t>https://ec.europa.eu/info/funding-tenders/opportunities/docs/2021-2027/horizon/guidance/ls-decision_he_en.pdf</w:t>
        </w:r>
      </w:hyperlink>
    </w:p>
  </w:footnote>
  <w:footnote w:id="186">
    <w:p w14:paraId="5EF00B23" w14:textId="77777777" w:rsidR="00D84031" w:rsidRDefault="007965BB">
      <w:pPr>
        <w:pStyle w:val="footnote1"/>
      </w:pPr>
      <w:r>
        <w:rPr>
          <w:vertAlign w:val="superscript"/>
        </w:rPr>
        <w:footnoteRef/>
      </w:r>
      <w:r>
        <w:rPr>
          <w:vertAlign w:val="superscript"/>
        </w:rPr>
        <w:tab/>
      </w:r>
      <w:r>
        <w:rPr>
          <w:color w:val="000000"/>
        </w:rPr>
        <w:t xml:space="preserve">See e.g. HORIZON-CL2-2022-TRANSFORMATIONS-01-02 - The impact of spatial mobility on European demographics, society, welfare system and labour market; </w:t>
      </w:r>
      <w:hyperlink r:id="rId219">
        <w:r>
          <w:rPr>
            <w:color w:val="0000FF"/>
            <w:szCs w:val="20"/>
            <w:u w:val="single"/>
          </w:rPr>
          <w:t>https://publications.europa.eu/resource/cellar/a9351b1c-4d31-11ee-9220-01aa75ed71a1.0001.03/DOC_1</w:t>
        </w:r>
      </w:hyperlink>
      <w:r>
        <w:rPr>
          <w:color w:val="000000"/>
        </w:rPr>
        <w:t xml:space="preserve"> ; </w:t>
      </w:r>
      <w:hyperlink r:id="rId220">
        <w:r>
          <w:rPr>
            <w:color w:val="0000FF"/>
            <w:szCs w:val="20"/>
            <w:u w:val="single"/>
          </w:rPr>
          <w:t>https://publications.europa.eu/resource/cellar/d697ee14-77ad-11ea-a07e-01aa75ed71a1.0001.01/DOC_1</w:t>
        </w:r>
      </w:hyperlink>
      <w:r>
        <w:rPr>
          <w:color w:val="000000"/>
        </w:rPr>
        <w:t xml:space="preserve"> ; </w:t>
      </w:r>
      <w:hyperlink r:id="rId221">
        <w:r>
          <w:rPr>
            <w:color w:val="0000FF"/>
            <w:szCs w:val="20"/>
            <w:u w:val="single"/>
          </w:rPr>
          <w:t>https://cordis.europa.eu/project/id/727072</w:t>
        </w:r>
      </w:hyperlink>
      <w:r>
        <w:rPr>
          <w:color w:val="000000"/>
        </w:rPr>
        <w:t xml:space="preserve"> ; </w:t>
      </w:r>
      <w:hyperlink r:id="rId222">
        <w:r>
          <w:rPr>
            <w:color w:val="0000FF"/>
            <w:szCs w:val="20"/>
            <w:u w:val="single"/>
          </w:rPr>
          <w:t>https://cordis.europa.eu/project/id/794030</w:t>
        </w:r>
      </w:hyperlink>
    </w:p>
  </w:footnote>
  <w:footnote w:id="187">
    <w:p w14:paraId="39E81A8D" w14:textId="77777777" w:rsidR="00D84031" w:rsidRDefault="007965BB">
      <w:pPr>
        <w:pStyle w:val="footnote1"/>
      </w:pPr>
      <w:r>
        <w:rPr>
          <w:vertAlign w:val="superscript"/>
        </w:rPr>
        <w:footnoteRef/>
      </w:r>
      <w:r>
        <w:rPr>
          <w:vertAlign w:val="superscript"/>
        </w:rPr>
        <w:tab/>
      </w:r>
      <w:r>
        <w:rPr>
          <w:color w:val="000000"/>
        </w:rPr>
        <w:t xml:space="preserve">This </w:t>
      </w:r>
      <w:hyperlink r:id="rId22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24">
        <w:r>
          <w:rPr>
            <w:color w:val="0000FF"/>
            <w:szCs w:val="20"/>
            <w:u w:val="single"/>
          </w:rPr>
          <w:t>https://ec.europa.eu/info/funding-tenders/opportunities/docs/2021-2027/horizon/guidance/ls-decision_he_en.pdf</w:t>
        </w:r>
      </w:hyperlink>
    </w:p>
  </w:footnote>
  <w:footnote w:id="188">
    <w:p w14:paraId="184F6F16" w14:textId="77777777" w:rsidR="00D84031" w:rsidRDefault="007965BB">
      <w:pPr>
        <w:pStyle w:val="footnote1"/>
      </w:pPr>
      <w:r>
        <w:rPr>
          <w:vertAlign w:val="superscript"/>
        </w:rPr>
        <w:footnoteRef/>
      </w:r>
      <w:r>
        <w:rPr>
          <w:vertAlign w:val="superscript"/>
        </w:rPr>
        <w:tab/>
      </w:r>
      <w:r>
        <w:rPr>
          <w:color w:val="000000"/>
        </w:rPr>
        <w:t xml:space="preserve">This </w:t>
      </w:r>
      <w:hyperlink r:id="rId22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26">
        <w:r>
          <w:rPr>
            <w:color w:val="0000FF"/>
            <w:szCs w:val="20"/>
            <w:u w:val="single"/>
          </w:rPr>
          <w:t>https://ec.europa.eu/info/funding-tenders/opportunities/docs/2021-2027/horizon/guidance/ls-decision_he_en.pdf</w:t>
        </w:r>
      </w:hyperlink>
    </w:p>
  </w:footnote>
  <w:footnote w:id="189">
    <w:p w14:paraId="3A656CFE" w14:textId="77777777" w:rsidR="00D84031" w:rsidRDefault="007965BB">
      <w:pPr>
        <w:pStyle w:val="footnote1"/>
      </w:pPr>
      <w:r>
        <w:rPr>
          <w:vertAlign w:val="superscript"/>
        </w:rPr>
        <w:footnoteRef/>
      </w:r>
      <w:r>
        <w:rPr>
          <w:vertAlign w:val="superscript"/>
        </w:rPr>
        <w:tab/>
      </w:r>
      <w:r>
        <w:rPr>
          <w:color w:val="000000"/>
        </w:rPr>
        <w:t xml:space="preserve">This </w:t>
      </w:r>
      <w:hyperlink r:id="rId22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28">
        <w:r>
          <w:rPr>
            <w:color w:val="0000FF"/>
            <w:szCs w:val="20"/>
            <w:u w:val="single"/>
          </w:rPr>
          <w:t>https://ec.europa.eu/info/funding-tenders/opportunities/docs/2021-2027/horizon/guidance/ls-decision_he_en.pdf</w:t>
        </w:r>
      </w:hyperlink>
    </w:p>
  </w:footnote>
  <w:footnote w:id="190">
    <w:p w14:paraId="6013297C" w14:textId="77777777" w:rsidR="00D84031" w:rsidRDefault="007965BB">
      <w:pPr>
        <w:pStyle w:val="footnote1"/>
      </w:pPr>
      <w:r>
        <w:rPr>
          <w:vertAlign w:val="superscript"/>
        </w:rPr>
        <w:footnoteRef/>
      </w:r>
      <w:r>
        <w:rPr>
          <w:vertAlign w:val="superscript"/>
        </w:rPr>
        <w:tab/>
      </w:r>
      <w:r>
        <w:rPr>
          <w:color w:val="000000"/>
        </w:rPr>
        <w:t xml:space="preserve">Article 1 of the UN Convention on the Rights of Persons with disabilities: </w:t>
      </w:r>
      <w:r>
        <w:rPr>
          <w:i/>
          <w:color w:val="000000"/>
          <w:u w:val="single"/>
        </w:rPr>
        <w:t xml:space="preserve">Persons with disabilities include those who have long-term physical, mental, intellectual or sensory impairments which in interaction with various barriers may hinder their full and effective participation in society on an equal basis with others. </w:t>
      </w:r>
      <w:hyperlink r:id="rId229">
        <w:r>
          <w:rPr>
            <w:i/>
            <w:color w:val="0000FF"/>
            <w:szCs w:val="20"/>
            <w:u w:val="single"/>
          </w:rPr>
          <w:t>https://www.ohchr.org/en/instruments-mechanisms/instruments/convention-rights-persons-disabilities</w:t>
        </w:r>
      </w:hyperlink>
    </w:p>
  </w:footnote>
  <w:footnote w:id="191">
    <w:p w14:paraId="5A2B5263" w14:textId="77777777" w:rsidR="00D84031" w:rsidRDefault="007965BB">
      <w:pPr>
        <w:pStyle w:val="footnote1"/>
      </w:pPr>
      <w:r>
        <w:rPr>
          <w:vertAlign w:val="superscript"/>
        </w:rPr>
        <w:footnoteRef/>
      </w:r>
      <w:r>
        <w:rPr>
          <w:vertAlign w:val="superscript"/>
        </w:rPr>
        <w:tab/>
      </w:r>
      <w:hyperlink r:id="rId230">
        <w:r>
          <w:rPr>
            <w:color w:val="0000FF"/>
            <w:szCs w:val="20"/>
            <w:u w:val="single"/>
          </w:rPr>
          <w:t>https://op.europa.eu/en/publication-detail/-/publication/3e1e2228-7c97-11eb-9ac9-01aa75ed71a1/language-en</w:t>
        </w:r>
      </w:hyperlink>
    </w:p>
  </w:footnote>
  <w:footnote w:id="192">
    <w:p w14:paraId="4B047FB9" w14:textId="77777777" w:rsidR="00D84031" w:rsidRDefault="007965BB">
      <w:pPr>
        <w:pStyle w:val="footnote1"/>
      </w:pPr>
      <w:r>
        <w:rPr>
          <w:vertAlign w:val="superscript"/>
        </w:rPr>
        <w:footnoteRef/>
      </w:r>
      <w:r>
        <w:rPr>
          <w:vertAlign w:val="superscript"/>
        </w:rPr>
        <w:tab/>
      </w:r>
      <w:r>
        <w:rPr>
          <w:color w:val="000000"/>
        </w:rPr>
        <w:t xml:space="preserve">This </w:t>
      </w:r>
      <w:hyperlink r:id="rId23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32">
        <w:r>
          <w:rPr>
            <w:color w:val="0000FF"/>
            <w:szCs w:val="20"/>
            <w:u w:val="single"/>
          </w:rPr>
          <w:t>https://ec.europa.eu/info/funding-tenders/opportunities/docs/2021-2027/horizon/guidance/ls-decision_he_en.pdf</w:t>
        </w:r>
      </w:hyperlink>
    </w:p>
  </w:footnote>
  <w:footnote w:id="193">
    <w:p w14:paraId="06A4BB4B" w14:textId="77777777" w:rsidR="00D84031" w:rsidRDefault="007965BB">
      <w:pPr>
        <w:pStyle w:val="footnote1"/>
      </w:pPr>
      <w:r>
        <w:rPr>
          <w:vertAlign w:val="superscript"/>
        </w:rPr>
        <w:footnoteRef/>
      </w:r>
      <w:r>
        <w:rPr>
          <w:vertAlign w:val="superscript"/>
        </w:rPr>
        <w:tab/>
      </w:r>
      <w:r>
        <w:rPr>
          <w:color w:val="000000"/>
        </w:rPr>
        <w:t xml:space="preserve">This </w:t>
      </w:r>
      <w:hyperlink r:id="rId23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34">
        <w:r>
          <w:rPr>
            <w:color w:val="0000FF"/>
            <w:szCs w:val="20"/>
            <w:u w:val="single"/>
          </w:rPr>
          <w:t>https://ec.europa.eu/info/funding-tenders/opportunities/docs/2021-2027/horizon/guidance/ls-decision_he_en.pdf</w:t>
        </w:r>
      </w:hyperlink>
    </w:p>
  </w:footnote>
  <w:footnote w:id="194">
    <w:p w14:paraId="78B1F2FA" w14:textId="77777777" w:rsidR="00D84031" w:rsidRDefault="007965BB">
      <w:pPr>
        <w:pStyle w:val="footnote1"/>
      </w:pPr>
      <w:r>
        <w:rPr>
          <w:vertAlign w:val="superscript"/>
        </w:rPr>
        <w:footnoteRef/>
      </w:r>
      <w:r>
        <w:rPr>
          <w:vertAlign w:val="superscript"/>
        </w:rPr>
        <w:tab/>
      </w:r>
      <w:r>
        <w:rPr>
          <w:color w:val="000000"/>
        </w:rPr>
        <w:t>The budget figures given in this table are rounded to two decimal places.</w:t>
      </w:r>
    </w:p>
    <w:p w14:paraId="5DC34CA4" w14:textId="77777777" w:rsidR="00D84031" w:rsidRDefault="007965BB">
      <w:pPr>
        <w:pStyle w:val="footnote2"/>
      </w:pPr>
      <w:r>
        <w:rPr>
          <w:color w:val="000000"/>
        </w:rPr>
        <w:t>The budget amounts are subject to the availability of the appropriations provided for in the general budget of the Union for 2026 and 2027.</w:t>
      </w:r>
    </w:p>
  </w:footnote>
  <w:footnote w:id="195">
    <w:p w14:paraId="2860181B" w14:textId="77777777" w:rsidR="00D84031" w:rsidRDefault="007965BB">
      <w:pPr>
        <w:pStyle w:val="footnote1"/>
      </w:pPr>
      <w:r>
        <w:rPr>
          <w:vertAlign w:val="superscript"/>
        </w:rPr>
        <w:footnoteRef/>
      </w:r>
      <w:r>
        <w:rPr>
          <w:vertAlign w:val="superscript"/>
        </w:rPr>
        <w:tab/>
      </w:r>
      <w:r>
        <w:rPr>
          <w:color w:val="000000"/>
        </w:rPr>
        <w:t>The contribution from Cluster 2 for year 2026 is EUR 16.07 million for the Missions work programme part and EUR 2.96 million for the New European Bauhaus Facility and Horizontal Activities work programme part.</w:t>
      </w:r>
    </w:p>
    <w:p w14:paraId="09898633" w14:textId="77777777" w:rsidR="00D84031" w:rsidRDefault="007965BB">
      <w:pPr>
        <w:pStyle w:val="footnote2"/>
      </w:pPr>
      <w:r>
        <w:rPr>
          <w:color w:val="000000"/>
        </w:rPr>
        <w:t>The contribution from Cluster 2 for year 2027 is EUR 22.78 million for the Missions work programme part and EUR 4.06 million for the New European Bauhaus Facility and Horizontal Activities work programme part.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E57EC" w14:textId="77777777" w:rsidR="00254CB4" w:rsidRDefault="00254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47E8D" w14:textId="77777777" w:rsidR="00942B6D" w:rsidRPr="00645F70" w:rsidRDefault="007965BB" w:rsidP="00645F70">
    <w:pPr>
      <w:pStyle w:val="HeaderStyle"/>
    </w:pPr>
    <w:sdt>
      <w:sdtPr>
        <w:id w:val="384768709"/>
        <w:docPartObj>
          <w:docPartGallery w:val="Watermarks"/>
          <w:docPartUnique/>
        </w:docPartObj>
      </w:sdtPr>
      <w:sdtEndPr/>
      <w:sdtContent>
        <w:r>
          <w:rPr>
            <w:noProof/>
            <w:lang w:val="en-US" w:eastAsia="zh-TW"/>
          </w:rPr>
          <w:pict w14:anchorId="151338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1"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33EAE">
      <w:t>Horizon Europe - Work Programme 2026-2027</w:t>
    </w:r>
    <w:r w:rsidR="00F33EAE">
      <w:cr/>
      <w:t>Culture, Creativity and Inclusive Society</w:t>
    </w:r>
    <w:r w:rsidR="002357B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39A6C" w14:textId="77777777" w:rsidR="006A6038" w:rsidRDefault="007965BB" w:rsidP="00F37A29">
    <w:pPr>
      <w:pStyle w:val="Header"/>
      <w:tabs>
        <w:tab w:val="clear" w:pos="4536"/>
        <w:tab w:val="clear" w:pos="9072"/>
        <w:tab w:val="left" w:pos="2265"/>
      </w:tabs>
    </w:pPr>
    <w:r>
      <w:rPr>
        <w:noProof/>
      </w:rPr>
      <w:pict w14:anchorId="1D5A3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32.6pt;margin-top:257.45pt;width:412.4pt;height:247.45pt;rotation:315;z-index:-251656192;mso-position-horizontal-relative:margin;mso-position-vertical-relative:margin" o:allowincell="f" fillcolor="silver" stroked="f">
          <v:fill opacity=".5"/>
          <v:textpath style="font-family:&quot;Calibri&quot;;font-size:1pt" string="DRAFT"/>
          <w10:wrap anchorx="margin" anchory="margin"/>
        </v:shape>
      </w:pict>
    </w:r>
    <w:r w:rsidR="006A603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A84"/>
    <w:multiLevelType w:val="hybridMultilevel"/>
    <w:tmpl w:val="E94495AC"/>
    <w:name w:val="CPSNumberingScheme"/>
    <w:lvl w:ilvl="0" w:tplc="86B44F52">
      <w:start w:val="1"/>
      <w:numFmt w:val="decimal"/>
      <w:lvlText w:val="%1."/>
      <w:lvlJc w:val="right"/>
      <w:pPr>
        <w:ind w:left="500" w:hanging="180"/>
      </w:pPr>
    </w:lvl>
    <w:lvl w:ilvl="1" w:tplc="6F20AB7E">
      <w:start w:val="1"/>
      <w:numFmt w:val="decimal"/>
      <w:lvlText w:val="%2."/>
      <w:lvlJc w:val="right"/>
      <w:pPr>
        <w:ind w:left="1000" w:hanging="180"/>
      </w:pPr>
    </w:lvl>
    <w:lvl w:ilvl="2" w:tplc="8298A138">
      <w:start w:val="1"/>
      <w:numFmt w:val="decimal"/>
      <w:lvlText w:val="%3."/>
      <w:lvlJc w:val="right"/>
      <w:pPr>
        <w:ind w:left="1500" w:hanging="180"/>
      </w:pPr>
    </w:lvl>
    <w:lvl w:ilvl="3" w:tplc="819CE58A">
      <w:start w:val="1"/>
      <w:numFmt w:val="decimal"/>
      <w:lvlText w:val="%4."/>
      <w:lvlJc w:val="right"/>
      <w:pPr>
        <w:ind w:left="2000" w:hanging="180"/>
      </w:pPr>
    </w:lvl>
    <w:lvl w:ilvl="4" w:tplc="9BBAD92A">
      <w:start w:val="1"/>
      <w:numFmt w:val="decimal"/>
      <w:lvlText w:val="%5."/>
      <w:lvlJc w:val="right"/>
      <w:pPr>
        <w:ind w:left="2500" w:hanging="180"/>
      </w:pPr>
    </w:lvl>
    <w:lvl w:ilvl="5" w:tplc="A1C80026">
      <w:start w:val="1"/>
      <w:numFmt w:val="decimal"/>
      <w:lvlText w:val="%6."/>
      <w:lvlJc w:val="right"/>
      <w:pPr>
        <w:ind w:left="3000" w:hanging="180"/>
      </w:pPr>
    </w:lvl>
    <w:lvl w:ilvl="6" w:tplc="EE2225FC">
      <w:start w:val="1"/>
      <w:numFmt w:val="decimal"/>
      <w:lvlText w:val="%7."/>
      <w:lvlJc w:val="right"/>
      <w:pPr>
        <w:ind w:left="3500" w:hanging="180"/>
      </w:pPr>
    </w:lvl>
    <w:lvl w:ilvl="7" w:tplc="8B4A340E">
      <w:start w:val="1"/>
      <w:numFmt w:val="decimal"/>
      <w:lvlText w:val="%8."/>
      <w:lvlJc w:val="right"/>
      <w:pPr>
        <w:ind w:left="4000" w:hanging="180"/>
      </w:pPr>
    </w:lvl>
    <w:lvl w:ilvl="8" w:tplc="5E66E128">
      <w:start w:val="1"/>
      <w:numFmt w:val="decimal"/>
      <w:lvlText w:val="%9."/>
      <w:lvlJc w:val="right"/>
      <w:pPr>
        <w:ind w:left="4500" w:hanging="180"/>
      </w:pPr>
    </w:lvl>
  </w:abstractNum>
  <w:abstractNum w:abstractNumId="1" w15:restartNumberingAfterBreak="0">
    <w:nsid w:val="016E05C5"/>
    <w:multiLevelType w:val="hybridMultilevel"/>
    <w:tmpl w:val="0ADACDDA"/>
    <w:name w:val="CPSNumberingScheme"/>
    <w:lvl w:ilvl="0" w:tplc="B6FEA682">
      <w:start w:val="1"/>
      <w:numFmt w:val="decimal"/>
      <w:lvlText w:val="%1."/>
      <w:lvlJc w:val="right"/>
      <w:pPr>
        <w:ind w:left="500" w:hanging="180"/>
      </w:pPr>
    </w:lvl>
    <w:lvl w:ilvl="1" w:tplc="4F481438">
      <w:start w:val="1"/>
      <w:numFmt w:val="decimal"/>
      <w:lvlText w:val="%2."/>
      <w:lvlJc w:val="right"/>
      <w:pPr>
        <w:ind w:left="1000" w:hanging="180"/>
      </w:pPr>
    </w:lvl>
    <w:lvl w:ilvl="2" w:tplc="EF5C5172">
      <w:start w:val="1"/>
      <w:numFmt w:val="decimal"/>
      <w:lvlText w:val="%3."/>
      <w:lvlJc w:val="right"/>
      <w:pPr>
        <w:ind w:left="1500" w:hanging="180"/>
      </w:pPr>
    </w:lvl>
    <w:lvl w:ilvl="3" w:tplc="D3945662">
      <w:start w:val="1"/>
      <w:numFmt w:val="decimal"/>
      <w:lvlText w:val="%4."/>
      <w:lvlJc w:val="right"/>
      <w:pPr>
        <w:ind w:left="2000" w:hanging="180"/>
      </w:pPr>
    </w:lvl>
    <w:lvl w:ilvl="4" w:tplc="75802CB8">
      <w:start w:val="1"/>
      <w:numFmt w:val="decimal"/>
      <w:lvlText w:val="%5."/>
      <w:lvlJc w:val="right"/>
      <w:pPr>
        <w:ind w:left="2500" w:hanging="180"/>
      </w:pPr>
    </w:lvl>
    <w:lvl w:ilvl="5" w:tplc="F25C47F2">
      <w:start w:val="1"/>
      <w:numFmt w:val="decimal"/>
      <w:lvlText w:val="%6."/>
      <w:lvlJc w:val="right"/>
      <w:pPr>
        <w:ind w:left="3000" w:hanging="180"/>
      </w:pPr>
    </w:lvl>
    <w:lvl w:ilvl="6" w:tplc="80B2B0BE">
      <w:start w:val="1"/>
      <w:numFmt w:val="decimal"/>
      <w:lvlText w:val="%7."/>
      <w:lvlJc w:val="right"/>
      <w:pPr>
        <w:ind w:left="3500" w:hanging="180"/>
      </w:pPr>
    </w:lvl>
    <w:lvl w:ilvl="7" w:tplc="EA5685B8">
      <w:start w:val="1"/>
      <w:numFmt w:val="decimal"/>
      <w:lvlText w:val="%8."/>
      <w:lvlJc w:val="right"/>
      <w:pPr>
        <w:ind w:left="4000" w:hanging="180"/>
      </w:pPr>
    </w:lvl>
    <w:lvl w:ilvl="8" w:tplc="58504C5A">
      <w:start w:val="1"/>
      <w:numFmt w:val="decimal"/>
      <w:lvlText w:val="%9."/>
      <w:lvlJc w:val="right"/>
      <w:pPr>
        <w:ind w:left="4500" w:hanging="180"/>
      </w:pPr>
    </w:lvl>
  </w:abstractNum>
  <w:abstractNum w:abstractNumId="2" w15:restartNumberingAfterBreak="0">
    <w:nsid w:val="01B06E77"/>
    <w:multiLevelType w:val="hybridMultilevel"/>
    <w:tmpl w:val="3C32C16E"/>
    <w:name w:val="CPSNumberingScheme"/>
    <w:lvl w:ilvl="0" w:tplc="5486FB8C">
      <w:start w:val="1"/>
      <w:numFmt w:val="decimal"/>
      <w:lvlText w:val="%1."/>
      <w:lvlJc w:val="right"/>
      <w:pPr>
        <w:ind w:left="500" w:hanging="180"/>
      </w:pPr>
    </w:lvl>
    <w:lvl w:ilvl="1" w:tplc="D714AEBA">
      <w:start w:val="1"/>
      <w:numFmt w:val="decimal"/>
      <w:lvlText w:val="%2."/>
      <w:lvlJc w:val="right"/>
      <w:pPr>
        <w:ind w:left="1000" w:hanging="180"/>
      </w:pPr>
    </w:lvl>
    <w:lvl w:ilvl="2" w:tplc="A12CA0E0">
      <w:start w:val="1"/>
      <w:numFmt w:val="decimal"/>
      <w:lvlText w:val="%3."/>
      <w:lvlJc w:val="right"/>
      <w:pPr>
        <w:ind w:left="1500" w:hanging="180"/>
      </w:pPr>
    </w:lvl>
    <w:lvl w:ilvl="3" w:tplc="2BC484A0">
      <w:start w:val="1"/>
      <w:numFmt w:val="decimal"/>
      <w:lvlText w:val="%4."/>
      <w:lvlJc w:val="right"/>
      <w:pPr>
        <w:ind w:left="2000" w:hanging="180"/>
      </w:pPr>
    </w:lvl>
    <w:lvl w:ilvl="4" w:tplc="7AFC7802">
      <w:start w:val="1"/>
      <w:numFmt w:val="decimal"/>
      <w:lvlText w:val="%5."/>
      <w:lvlJc w:val="right"/>
      <w:pPr>
        <w:ind w:left="2500" w:hanging="180"/>
      </w:pPr>
    </w:lvl>
    <w:lvl w:ilvl="5" w:tplc="89108B9E">
      <w:start w:val="1"/>
      <w:numFmt w:val="decimal"/>
      <w:lvlText w:val="%6."/>
      <w:lvlJc w:val="right"/>
      <w:pPr>
        <w:ind w:left="3000" w:hanging="180"/>
      </w:pPr>
    </w:lvl>
    <w:lvl w:ilvl="6" w:tplc="912A600C">
      <w:start w:val="1"/>
      <w:numFmt w:val="decimal"/>
      <w:lvlText w:val="%7."/>
      <w:lvlJc w:val="right"/>
      <w:pPr>
        <w:ind w:left="3500" w:hanging="180"/>
      </w:pPr>
    </w:lvl>
    <w:lvl w:ilvl="7" w:tplc="126ABBD6">
      <w:start w:val="1"/>
      <w:numFmt w:val="decimal"/>
      <w:lvlText w:val="%8."/>
      <w:lvlJc w:val="right"/>
      <w:pPr>
        <w:ind w:left="4000" w:hanging="180"/>
      </w:pPr>
    </w:lvl>
    <w:lvl w:ilvl="8" w:tplc="8DFEE238">
      <w:start w:val="1"/>
      <w:numFmt w:val="decimal"/>
      <w:lvlText w:val="%9."/>
      <w:lvlJc w:val="right"/>
      <w:pPr>
        <w:ind w:left="4500" w:hanging="180"/>
      </w:pPr>
    </w:lvl>
  </w:abstractNum>
  <w:abstractNum w:abstractNumId="3" w15:restartNumberingAfterBreak="0">
    <w:nsid w:val="060B0B4F"/>
    <w:multiLevelType w:val="hybridMultilevel"/>
    <w:tmpl w:val="EFC865AA"/>
    <w:lvl w:ilvl="0" w:tplc="E64A2C4E">
      <w:start w:val="1"/>
      <w:numFmt w:val="decimal"/>
      <w:pStyle w:val="NumberParagraphLevel2"/>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4B661D"/>
    <w:multiLevelType w:val="hybridMultilevel"/>
    <w:tmpl w:val="77544BD4"/>
    <w:name w:val="CPSNumberingScheme"/>
    <w:lvl w:ilvl="0" w:tplc="7BB44F70">
      <w:start w:val="1"/>
      <w:numFmt w:val="decimal"/>
      <w:lvlText w:val="%1."/>
      <w:lvlJc w:val="right"/>
      <w:pPr>
        <w:ind w:left="500" w:hanging="180"/>
      </w:pPr>
    </w:lvl>
    <w:lvl w:ilvl="1" w:tplc="FBEA0E16">
      <w:start w:val="1"/>
      <w:numFmt w:val="decimal"/>
      <w:lvlText w:val="%2."/>
      <w:lvlJc w:val="right"/>
      <w:pPr>
        <w:ind w:left="1000" w:hanging="180"/>
      </w:pPr>
    </w:lvl>
    <w:lvl w:ilvl="2" w:tplc="B1102390">
      <w:start w:val="1"/>
      <w:numFmt w:val="decimal"/>
      <w:lvlText w:val="%3."/>
      <w:lvlJc w:val="right"/>
      <w:pPr>
        <w:ind w:left="1500" w:hanging="180"/>
      </w:pPr>
    </w:lvl>
    <w:lvl w:ilvl="3" w:tplc="CF14D720">
      <w:start w:val="1"/>
      <w:numFmt w:val="decimal"/>
      <w:lvlText w:val="%4."/>
      <w:lvlJc w:val="right"/>
      <w:pPr>
        <w:ind w:left="2000" w:hanging="180"/>
      </w:pPr>
    </w:lvl>
    <w:lvl w:ilvl="4" w:tplc="A31C1496">
      <w:start w:val="1"/>
      <w:numFmt w:val="decimal"/>
      <w:lvlText w:val="%5."/>
      <w:lvlJc w:val="right"/>
      <w:pPr>
        <w:ind w:left="2500" w:hanging="180"/>
      </w:pPr>
    </w:lvl>
    <w:lvl w:ilvl="5" w:tplc="24D20DBE">
      <w:start w:val="1"/>
      <w:numFmt w:val="decimal"/>
      <w:lvlText w:val="%6."/>
      <w:lvlJc w:val="right"/>
      <w:pPr>
        <w:ind w:left="3000" w:hanging="180"/>
      </w:pPr>
    </w:lvl>
    <w:lvl w:ilvl="6" w:tplc="B2D07B80">
      <w:start w:val="1"/>
      <w:numFmt w:val="decimal"/>
      <w:lvlText w:val="%7."/>
      <w:lvlJc w:val="right"/>
      <w:pPr>
        <w:ind w:left="3500" w:hanging="180"/>
      </w:pPr>
    </w:lvl>
    <w:lvl w:ilvl="7" w:tplc="5D003F72">
      <w:start w:val="1"/>
      <w:numFmt w:val="decimal"/>
      <w:lvlText w:val="%8."/>
      <w:lvlJc w:val="right"/>
      <w:pPr>
        <w:ind w:left="4000" w:hanging="180"/>
      </w:pPr>
    </w:lvl>
    <w:lvl w:ilvl="8" w:tplc="59D0E408">
      <w:start w:val="1"/>
      <w:numFmt w:val="decimal"/>
      <w:lvlText w:val="%9."/>
      <w:lvlJc w:val="right"/>
      <w:pPr>
        <w:ind w:left="4500" w:hanging="180"/>
      </w:pPr>
    </w:lvl>
  </w:abstractNum>
  <w:abstractNum w:abstractNumId="5" w15:restartNumberingAfterBreak="0">
    <w:nsid w:val="09F36456"/>
    <w:multiLevelType w:val="hybridMultilevel"/>
    <w:tmpl w:val="E63AF84C"/>
    <w:name w:val="CPSNumberingScheme"/>
    <w:lvl w:ilvl="0" w:tplc="3614FC06">
      <w:start w:val="1"/>
      <w:numFmt w:val="decimal"/>
      <w:lvlText w:val="%1."/>
      <w:lvlJc w:val="right"/>
      <w:pPr>
        <w:ind w:left="500" w:hanging="180"/>
      </w:pPr>
    </w:lvl>
    <w:lvl w:ilvl="1" w:tplc="279E41CC">
      <w:start w:val="1"/>
      <w:numFmt w:val="decimal"/>
      <w:lvlText w:val="%2."/>
      <w:lvlJc w:val="right"/>
      <w:pPr>
        <w:ind w:left="1000" w:hanging="180"/>
      </w:pPr>
    </w:lvl>
    <w:lvl w:ilvl="2" w:tplc="B894A398">
      <w:start w:val="1"/>
      <w:numFmt w:val="decimal"/>
      <w:lvlText w:val="%3."/>
      <w:lvlJc w:val="right"/>
      <w:pPr>
        <w:ind w:left="1500" w:hanging="180"/>
      </w:pPr>
    </w:lvl>
    <w:lvl w:ilvl="3" w:tplc="98B0461C">
      <w:start w:val="1"/>
      <w:numFmt w:val="decimal"/>
      <w:lvlText w:val="%4."/>
      <w:lvlJc w:val="right"/>
      <w:pPr>
        <w:ind w:left="2000" w:hanging="180"/>
      </w:pPr>
    </w:lvl>
    <w:lvl w:ilvl="4" w:tplc="1D3CCBD0">
      <w:start w:val="1"/>
      <w:numFmt w:val="decimal"/>
      <w:lvlText w:val="%5."/>
      <w:lvlJc w:val="right"/>
      <w:pPr>
        <w:ind w:left="2500" w:hanging="180"/>
      </w:pPr>
    </w:lvl>
    <w:lvl w:ilvl="5" w:tplc="A210EB0A">
      <w:start w:val="1"/>
      <w:numFmt w:val="decimal"/>
      <w:lvlText w:val="%6."/>
      <w:lvlJc w:val="right"/>
      <w:pPr>
        <w:ind w:left="3000" w:hanging="180"/>
      </w:pPr>
    </w:lvl>
    <w:lvl w:ilvl="6" w:tplc="969433F6">
      <w:start w:val="1"/>
      <w:numFmt w:val="decimal"/>
      <w:lvlText w:val="%7."/>
      <w:lvlJc w:val="right"/>
      <w:pPr>
        <w:ind w:left="3500" w:hanging="180"/>
      </w:pPr>
    </w:lvl>
    <w:lvl w:ilvl="7" w:tplc="DBA27670">
      <w:start w:val="1"/>
      <w:numFmt w:val="decimal"/>
      <w:lvlText w:val="%8."/>
      <w:lvlJc w:val="right"/>
      <w:pPr>
        <w:ind w:left="4000" w:hanging="180"/>
      </w:pPr>
    </w:lvl>
    <w:lvl w:ilvl="8" w:tplc="41B40816">
      <w:start w:val="1"/>
      <w:numFmt w:val="decimal"/>
      <w:lvlText w:val="%9."/>
      <w:lvlJc w:val="right"/>
      <w:pPr>
        <w:ind w:left="4500" w:hanging="180"/>
      </w:pPr>
    </w:lvl>
  </w:abstractNum>
  <w:abstractNum w:abstractNumId="6" w15:restartNumberingAfterBreak="0">
    <w:nsid w:val="0A2D23D8"/>
    <w:multiLevelType w:val="hybridMultilevel"/>
    <w:tmpl w:val="92682630"/>
    <w:name w:val="CPSNumberingScheme"/>
    <w:lvl w:ilvl="0" w:tplc="51B03A90">
      <w:start w:val="1"/>
      <w:numFmt w:val="decimal"/>
      <w:lvlText w:val="%1."/>
      <w:lvlJc w:val="right"/>
      <w:pPr>
        <w:ind w:left="500" w:hanging="180"/>
      </w:pPr>
    </w:lvl>
    <w:lvl w:ilvl="1" w:tplc="011003A2">
      <w:start w:val="1"/>
      <w:numFmt w:val="decimal"/>
      <w:lvlText w:val="%2."/>
      <w:lvlJc w:val="right"/>
      <w:pPr>
        <w:ind w:left="1000" w:hanging="180"/>
      </w:pPr>
    </w:lvl>
    <w:lvl w:ilvl="2" w:tplc="AF024AA8">
      <w:start w:val="1"/>
      <w:numFmt w:val="decimal"/>
      <w:lvlText w:val="%3."/>
      <w:lvlJc w:val="right"/>
      <w:pPr>
        <w:ind w:left="1500" w:hanging="180"/>
      </w:pPr>
    </w:lvl>
    <w:lvl w:ilvl="3" w:tplc="7C901C18">
      <w:start w:val="1"/>
      <w:numFmt w:val="decimal"/>
      <w:lvlText w:val="%4."/>
      <w:lvlJc w:val="right"/>
      <w:pPr>
        <w:ind w:left="2000" w:hanging="180"/>
      </w:pPr>
    </w:lvl>
    <w:lvl w:ilvl="4" w:tplc="4FDC3AFA">
      <w:start w:val="1"/>
      <w:numFmt w:val="decimal"/>
      <w:lvlText w:val="%5."/>
      <w:lvlJc w:val="right"/>
      <w:pPr>
        <w:ind w:left="2500" w:hanging="180"/>
      </w:pPr>
    </w:lvl>
    <w:lvl w:ilvl="5" w:tplc="02746DC0">
      <w:start w:val="1"/>
      <w:numFmt w:val="decimal"/>
      <w:lvlText w:val="%6."/>
      <w:lvlJc w:val="right"/>
      <w:pPr>
        <w:ind w:left="3000" w:hanging="180"/>
      </w:pPr>
    </w:lvl>
    <w:lvl w:ilvl="6" w:tplc="E0D4E522">
      <w:start w:val="1"/>
      <w:numFmt w:val="decimal"/>
      <w:lvlText w:val="%7."/>
      <w:lvlJc w:val="right"/>
      <w:pPr>
        <w:ind w:left="3500" w:hanging="180"/>
      </w:pPr>
    </w:lvl>
    <w:lvl w:ilvl="7" w:tplc="F266D044">
      <w:start w:val="1"/>
      <w:numFmt w:val="decimal"/>
      <w:lvlText w:val="%8."/>
      <w:lvlJc w:val="right"/>
      <w:pPr>
        <w:ind w:left="4000" w:hanging="180"/>
      </w:pPr>
    </w:lvl>
    <w:lvl w:ilvl="8" w:tplc="4190B3C2">
      <w:start w:val="1"/>
      <w:numFmt w:val="decimal"/>
      <w:lvlText w:val="%9."/>
      <w:lvlJc w:val="right"/>
      <w:pPr>
        <w:ind w:left="4500" w:hanging="180"/>
      </w:pPr>
    </w:lvl>
  </w:abstractNum>
  <w:abstractNum w:abstractNumId="7" w15:restartNumberingAfterBreak="0">
    <w:nsid w:val="0C762BCE"/>
    <w:multiLevelType w:val="hybridMultilevel"/>
    <w:tmpl w:val="7CA8CD5C"/>
    <w:name w:val="CPSNumberingScheme"/>
    <w:lvl w:ilvl="0" w:tplc="DE66827C">
      <w:start w:val="1"/>
      <w:numFmt w:val="decimal"/>
      <w:lvlText w:val="%1."/>
      <w:lvlJc w:val="right"/>
      <w:pPr>
        <w:ind w:left="500" w:hanging="180"/>
      </w:pPr>
    </w:lvl>
    <w:lvl w:ilvl="1" w:tplc="415487D8">
      <w:start w:val="1"/>
      <w:numFmt w:val="decimal"/>
      <w:lvlText w:val="%2."/>
      <w:lvlJc w:val="right"/>
      <w:pPr>
        <w:ind w:left="1000" w:hanging="180"/>
      </w:pPr>
    </w:lvl>
    <w:lvl w:ilvl="2" w:tplc="CCE630A0">
      <w:start w:val="1"/>
      <w:numFmt w:val="decimal"/>
      <w:lvlText w:val="%3."/>
      <w:lvlJc w:val="right"/>
      <w:pPr>
        <w:ind w:left="1500" w:hanging="180"/>
      </w:pPr>
    </w:lvl>
    <w:lvl w:ilvl="3" w:tplc="DF426614">
      <w:start w:val="1"/>
      <w:numFmt w:val="decimal"/>
      <w:lvlText w:val="%4."/>
      <w:lvlJc w:val="right"/>
      <w:pPr>
        <w:ind w:left="2000" w:hanging="180"/>
      </w:pPr>
    </w:lvl>
    <w:lvl w:ilvl="4" w:tplc="9ADA2564">
      <w:start w:val="1"/>
      <w:numFmt w:val="decimal"/>
      <w:lvlText w:val="%5."/>
      <w:lvlJc w:val="right"/>
      <w:pPr>
        <w:ind w:left="2500" w:hanging="180"/>
      </w:pPr>
    </w:lvl>
    <w:lvl w:ilvl="5" w:tplc="F58CAF22">
      <w:start w:val="1"/>
      <w:numFmt w:val="decimal"/>
      <w:lvlText w:val="%6."/>
      <w:lvlJc w:val="right"/>
      <w:pPr>
        <w:ind w:left="3000" w:hanging="180"/>
      </w:pPr>
    </w:lvl>
    <w:lvl w:ilvl="6" w:tplc="5CFA7D94">
      <w:start w:val="1"/>
      <w:numFmt w:val="decimal"/>
      <w:lvlText w:val="%7."/>
      <w:lvlJc w:val="right"/>
      <w:pPr>
        <w:ind w:left="3500" w:hanging="180"/>
      </w:pPr>
    </w:lvl>
    <w:lvl w:ilvl="7" w:tplc="240EB3F4">
      <w:start w:val="1"/>
      <w:numFmt w:val="decimal"/>
      <w:lvlText w:val="%8."/>
      <w:lvlJc w:val="right"/>
      <w:pPr>
        <w:ind w:left="4000" w:hanging="180"/>
      </w:pPr>
    </w:lvl>
    <w:lvl w:ilvl="8" w:tplc="15B89288">
      <w:start w:val="1"/>
      <w:numFmt w:val="decimal"/>
      <w:lvlText w:val="%9."/>
      <w:lvlJc w:val="right"/>
      <w:pPr>
        <w:ind w:left="4500" w:hanging="180"/>
      </w:pPr>
    </w:lvl>
  </w:abstractNum>
  <w:abstractNum w:abstractNumId="8" w15:restartNumberingAfterBreak="0">
    <w:nsid w:val="0DBA42B9"/>
    <w:multiLevelType w:val="hybridMultilevel"/>
    <w:tmpl w:val="E0968DEA"/>
    <w:name w:val="CPSNumberingScheme"/>
    <w:lvl w:ilvl="0" w:tplc="D24E82C4">
      <w:start w:val="1"/>
      <w:numFmt w:val="decimal"/>
      <w:lvlText w:val="%1."/>
      <w:lvlJc w:val="right"/>
      <w:pPr>
        <w:ind w:left="500" w:hanging="180"/>
      </w:pPr>
    </w:lvl>
    <w:lvl w:ilvl="1" w:tplc="20F0E91E">
      <w:start w:val="1"/>
      <w:numFmt w:val="decimal"/>
      <w:lvlText w:val="%2."/>
      <w:lvlJc w:val="right"/>
      <w:pPr>
        <w:ind w:left="1000" w:hanging="180"/>
      </w:pPr>
    </w:lvl>
    <w:lvl w:ilvl="2" w:tplc="BEA09480">
      <w:start w:val="1"/>
      <w:numFmt w:val="decimal"/>
      <w:lvlText w:val="%3."/>
      <w:lvlJc w:val="right"/>
      <w:pPr>
        <w:ind w:left="1500" w:hanging="180"/>
      </w:pPr>
    </w:lvl>
    <w:lvl w:ilvl="3" w:tplc="5C36D5D2">
      <w:start w:val="1"/>
      <w:numFmt w:val="decimal"/>
      <w:lvlText w:val="%4."/>
      <w:lvlJc w:val="right"/>
      <w:pPr>
        <w:ind w:left="2000" w:hanging="180"/>
      </w:pPr>
    </w:lvl>
    <w:lvl w:ilvl="4" w:tplc="69F658B4">
      <w:start w:val="1"/>
      <w:numFmt w:val="decimal"/>
      <w:lvlText w:val="%5."/>
      <w:lvlJc w:val="right"/>
      <w:pPr>
        <w:ind w:left="2500" w:hanging="180"/>
      </w:pPr>
    </w:lvl>
    <w:lvl w:ilvl="5" w:tplc="8B246056">
      <w:start w:val="1"/>
      <w:numFmt w:val="decimal"/>
      <w:lvlText w:val="%6."/>
      <w:lvlJc w:val="right"/>
      <w:pPr>
        <w:ind w:left="3000" w:hanging="180"/>
      </w:pPr>
    </w:lvl>
    <w:lvl w:ilvl="6" w:tplc="268E9154">
      <w:start w:val="1"/>
      <w:numFmt w:val="decimal"/>
      <w:lvlText w:val="%7."/>
      <w:lvlJc w:val="right"/>
      <w:pPr>
        <w:ind w:left="3500" w:hanging="180"/>
      </w:pPr>
    </w:lvl>
    <w:lvl w:ilvl="7" w:tplc="CCF219AA">
      <w:start w:val="1"/>
      <w:numFmt w:val="decimal"/>
      <w:lvlText w:val="%8."/>
      <w:lvlJc w:val="right"/>
      <w:pPr>
        <w:ind w:left="4000" w:hanging="180"/>
      </w:pPr>
    </w:lvl>
    <w:lvl w:ilvl="8" w:tplc="DCA8C85E">
      <w:start w:val="1"/>
      <w:numFmt w:val="decimal"/>
      <w:lvlText w:val="%9."/>
      <w:lvlJc w:val="right"/>
      <w:pPr>
        <w:ind w:left="4500" w:hanging="180"/>
      </w:pPr>
    </w:lvl>
  </w:abstractNum>
  <w:abstractNum w:abstractNumId="9" w15:restartNumberingAfterBreak="0">
    <w:nsid w:val="0E62667D"/>
    <w:multiLevelType w:val="hybridMultilevel"/>
    <w:tmpl w:val="4EBCD286"/>
    <w:name w:val="CPSNumberingScheme"/>
    <w:lvl w:ilvl="0" w:tplc="15768EC6">
      <w:start w:val="1"/>
      <w:numFmt w:val="decimal"/>
      <w:lvlText w:val="%1."/>
      <w:lvlJc w:val="right"/>
      <w:pPr>
        <w:ind w:left="500" w:hanging="180"/>
      </w:pPr>
    </w:lvl>
    <w:lvl w:ilvl="1" w:tplc="B516897C">
      <w:start w:val="1"/>
      <w:numFmt w:val="decimal"/>
      <w:lvlText w:val="%2."/>
      <w:lvlJc w:val="right"/>
      <w:pPr>
        <w:ind w:left="1000" w:hanging="180"/>
      </w:pPr>
    </w:lvl>
    <w:lvl w:ilvl="2" w:tplc="F9B2D602">
      <w:start w:val="1"/>
      <w:numFmt w:val="decimal"/>
      <w:lvlText w:val="%3."/>
      <w:lvlJc w:val="right"/>
      <w:pPr>
        <w:ind w:left="1500" w:hanging="180"/>
      </w:pPr>
    </w:lvl>
    <w:lvl w:ilvl="3" w:tplc="A6907F48">
      <w:start w:val="1"/>
      <w:numFmt w:val="decimal"/>
      <w:lvlText w:val="%4."/>
      <w:lvlJc w:val="right"/>
      <w:pPr>
        <w:ind w:left="2000" w:hanging="180"/>
      </w:pPr>
    </w:lvl>
    <w:lvl w:ilvl="4" w:tplc="676295BE">
      <w:start w:val="1"/>
      <w:numFmt w:val="decimal"/>
      <w:lvlText w:val="%5."/>
      <w:lvlJc w:val="right"/>
      <w:pPr>
        <w:ind w:left="2500" w:hanging="180"/>
      </w:pPr>
    </w:lvl>
    <w:lvl w:ilvl="5" w:tplc="1D443D0C">
      <w:start w:val="1"/>
      <w:numFmt w:val="decimal"/>
      <w:lvlText w:val="%6."/>
      <w:lvlJc w:val="right"/>
      <w:pPr>
        <w:ind w:left="3000" w:hanging="180"/>
      </w:pPr>
    </w:lvl>
    <w:lvl w:ilvl="6" w:tplc="66B8193C">
      <w:start w:val="1"/>
      <w:numFmt w:val="decimal"/>
      <w:lvlText w:val="%7."/>
      <w:lvlJc w:val="right"/>
      <w:pPr>
        <w:ind w:left="3500" w:hanging="180"/>
      </w:pPr>
    </w:lvl>
    <w:lvl w:ilvl="7" w:tplc="74CADD40">
      <w:start w:val="1"/>
      <w:numFmt w:val="decimal"/>
      <w:lvlText w:val="%8."/>
      <w:lvlJc w:val="right"/>
      <w:pPr>
        <w:ind w:left="4000" w:hanging="180"/>
      </w:pPr>
    </w:lvl>
    <w:lvl w:ilvl="8" w:tplc="8618E6B2">
      <w:start w:val="1"/>
      <w:numFmt w:val="decimal"/>
      <w:lvlText w:val="%9."/>
      <w:lvlJc w:val="right"/>
      <w:pPr>
        <w:ind w:left="4500" w:hanging="180"/>
      </w:pPr>
    </w:lvl>
  </w:abstractNum>
  <w:abstractNum w:abstractNumId="10" w15:restartNumberingAfterBreak="0">
    <w:nsid w:val="0E7C69DB"/>
    <w:multiLevelType w:val="hybridMultilevel"/>
    <w:tmpl w:val="9D2C5276"/>
    <w:name w:val="CPSNumberingScheme"/>
    <w:lvl w:ilvl="0" w:tplc="09267330">
      <w:start w:val="1"/>
      <w:numFmt w:val="decimal"/>
      <w:lvlText w:val="%1."/>
      <w:lvlJc w:val="right"/>
      <w:pPr>
        <w:ind w:left="500" w:hanging="180"/>
      </w:pPr>
    </w:lvl>
    <w:lvl w:ilvl="1" w:tplc="678617C0">
      <w:start w:val="1"/>
      <w:numFmt w:val="decimal"/>
      <w:lvlText w:val="%2."/>
      <w:lvlJc w:val="right"/>
      <w:pPr>
        <w:ind w:left="1000" w:hanging="180"/>
      </w:pPr>
    </w:lvl>
    <w:lvl w:ilvl="2" w:tplc="86BA27C0">
      <w:start w:val="1"/>
      <w:numFmt w:val="decimal"/>
      <w:lvlText w:val="%3."/>
      <w:lvlJc w:val="right"/>
      <w:pPr>
        <w:ind w:left="1500" w:hanging="180"/>
      </w:pPr>
    </w:lvl>
    <w:lvl w:ilvl="3" w:tplc="6714D39C">
      <w:start w:val="1"/>
      <w:numFmt w:val="decimal"/>
      <w:lvlText w:val="%4."/>
      <w:lvlJc w:val="right"/>
      <w:pPr>
        <w:ind w:left="2000" w:hanging="180"/>
      </w:pPr>
    </w:lvl>
    <w:lvl w:ilvl="4" w:tplc="981CEF16">
      <w:start w:val="1"/>
      <w:numFmt w:val="decimal"/>
      <w:lvlText w:val="%5."/>
      <w:lvlJc w:val="right"/>
      <w:pPr>
        <w:ind w:left="2500" w:hanging="180"/>
      </w:pPr>
    </w:lvl>
    <w:lvl w:ilvl="5" w:tplc="A43047B4">
      <w:start w:val="1"/>
      <w:numFmt w:val="decimal"/>
      <w:lvlText w:val="%6."/>
      <w:lvlJc w:val="right"/>
      <w:pPr>
        <w:ind w:left="3000" w:hanging="180"/>
      </w:pPr>
    </w:lvl>
    <w:lvl w:ilvl="6" w:tplc="24924CBC">
      <w:start w:val="1"/>
      <w:numFmt w:val="decimal"/>
      <w:lvlText w:val="%7."/>
      <w:lvlJc w:val="right"/>
      <w:pPr>
        <w:ind w:left="3500" w:hanging="180"/>
      </w:pPr>
    </w:lvl>
    <w:lvl w:ilvl="7" w:tplc="399205D2">
      <w:start w:val="1"/>
      <w:numFmt w:val="decimal"/>
      <w:lvlText w:val="%8."/>
      <w:lvlJc w:val="right"/>
      <w:pPr>
        <w:ind w:left="4000" w:hanging="180"/>
      </w:pPr>
    </w:lvl>
    <w:lvl w:ilvl="8" w:tplc="A5E23CB4">
      <w:start w:val="1"/>
      <w:numFmt w:val="decimal"/>
      <w:lvlText w:val="%9."/>
      <w:lvlJc w:val="right"/>
      <w:pPr>
        <w:ind w:left="4500" w:hanging="180"/>
      </w:pPr>
    </w:lvl>
  </w:abstractNum>
  <w:abstractNum w:abstractNumId="11" w15:restartNumberingAfterBreak="0">
    <w:nsid w:val="0F613200"/>
    <w:multiLevelType w:val="hybridMultilevel"/>
    <w:tmpl w:val="B1D4B0B0"/>
    <w:name w:val="CPSNumberingScheme"/>
    <w:lvl w:ilvl="0" w:tplc="E20810A2">
      <w:start w:val="1"/>
      <w:numFmt w:val="decimal"/>
      <w:lvlText w:val="%1."/>
      <w:lvlJc w:val="right"/>
      <w:pPr>
        <w:ind w:left="500" w:hanging="180"/>
      </w:pPr>
    </w:lvl>
    <w:lvl w:ilvl="1" w:tplc="5CD6F9DC">
      <w:start w:val="1"/>
      <w:numFmt w:val="decimal"/>
      <w:lvlText w:val="%2."/>
      <w:lvlJc w:val="right"/>
      <w:pPr>
        <w:ind w:left="1000" w:hanging="180"/>
      </w:pPr>
    </w:lvl>
    <w:lvl w:ilvl="2" w:tplc="F6965A64">
      <w:start w:val="1"/>
      <w:numFmt w:val="decimal"/>
      <w:lvlText w:val="%3."/>
      <w:lvlJc w:val="right"/>
      <w:pPr>
        <w:ind w:left="1500" w:hanging="180"/>
      </w:pPr>
    </w:lvl>
    <w:lvl w:ilvl="3" w:tplc="040CA04A">
      <w:start w:val="1"/>
      <w:numFmt w:val="decimal"/>
      <w:lvlText w:val="%4."/>
      <w:lvlJc w:val="right"/>
      <w:pPr>
        <w:ind w:left="2000" w:hanging="180"/>
      </w:pPr>
    </w:lvl>
    <w:lvl w:ilvl="4" w:tplc="D226B6DC">
      <w:start w:val="1"/>
      <w:numFmt w:val="decimal"/>
      <w:lvlText w:val="%5."/>
      <w:lvlJc w:val="right"/>
      <w:pPr>
        <w:ind w:left="2500" w:hanging="180"/>
      </w:pPr>
    </w:lvl>
    <w:lvl w:ilvl="5" w:tplc="AFA266EE">
      <w:start w:val="1"/>
      <w:numFmt w:val="decimal"/>
      <w:lvlText w:val="%6."/>
      <w:lvlJc w:val="right"/>
      <w:pPr>
        <w:ind w:left="3000" w:hanging="180"/>
      </w:pPr>
    </w:lvl>
    <w:lvl w:ilvl="6" w:tplc="1BE6A9B2">
      <w:start w:val="1"/>
      <w:numFmt w:val="decimal"/>
      <w:lvlText w:val="%7."/>
      <w:lvlJc w:val="right"/>
      <w:pPr>
        <w:ind w:left="3500" w:hanging="180"/>
      </w:pPr>
    </w:lvl>
    <w:lvl w:ilvl="7" w:tplc="8320F20E">
      <w:start w:val="1"/>
      <w:numFmt w:val="decimal"/>
      <w:lvlText w:val="%8."/>
      <w:lvlJc w:val="right"/>
      <w:pPr>
        <w:ind w:left="4000" w:hanging="180"/>
      </w:pPr>
    </w:lvl>
    <w:lvl w:ilvl="8" w:tplc="A1F83B30">
      <w:start w:val="1"/>
      <w:numFmt w:val="decimal"/>
      <w:lvlText w:val="%9."/>
      <w:lvlJc w:val="right"/>
      <w:pPr>
        <w:ind w:left="4500" w:hanging="180"/>
      </w:pPr>
    </w:lvl>
  </w:abstractNum>
  <w:abstractNum w:abstractNumId="12" w15:restartNumberingAfterBreak="0">
    <w:nsid w:val="0F9A307E"/>
    <w:multiLevelType w:val="hybridMultilevel"/>
    <w:tmpl w:val="170EFBB8"/>
    <w:name w:val="CPSNumberingScheme"/>
    <w:lvl w:ilvl="0" w:tplc="4AD67766">
      <w:start w:val="1"/>
      <w:numFmt w:val="decimal"/>
      <w:lvlText w:val="%1."/>
      <w:lvlJc w:val="right"/>
      <w:pPr>
        <w:ind w:left="500" w:hanging="180"/>
      </w:pPr>
    </w:lvl>
    <w:lvl w:ilvl="1" w:tplc="2814F1E0">
      <w:start w:val="1"/>
      <w:numFmt w:val="decimal"/>
      <w:lvlText w:val="%2."/>
      <w:lvlJc w:val="right"/>
      <w:pPr>
        <w:ind w:left="1000" w:hanging="180"/>
      </w:pPr>
    </w:lvl>
    <w:lvl w:ilvl="2" w:tplc="DEC0087A">
      <w:start w:val="1"/>
      <w:numFmt w:val="decimal"/>
      <w:lvlText w:val="%3."/>
      <w:lvlJc w:val="right"/>
      <w:pPr>
        <w:ind w:left="1500" w:hanging="180"/>
      </w:pPr>
    </w:lvl>
    <w:lvl w:ilvl="3" w:tplc="A2E01A96">
      <w:start w:val="1"/>
      <w:numFmt w:val="decimal"/>
      <w:lvlText w:val="%4."/>
      <w:lvlJc w:val="right"/>
      <w:pPr>
        <w:ind w:left="2000" w:hanging="180"/>
      </w:pPr>
    </w:lvl>
    <w:lvl w:ilvl="4" w:tplc="536E39B6">
      <w:start w:val="1"/>
      <w:numFmt w:val="decimal"/>
      <w:lvlText w:val="%5."/>
      <w:lvlJc w:val="right"/>
      <w:pPr>
        <w:ind w:left="2500" w:hanging="180"/>
      </w:pPr>
    </w:lvl>
    <w:lvl w:ilvl="5" w:tplc="56F66C60">
      <w:start w:val="1"/>
      <w:numFmt w:val="decimal"/>
      <w:lvlText w:val="%6."/>
      <w:lvlJc w:val="right"/>
      <w:pPr>
        <w:ind w:left="3000" w:hanging="180"/>
      </w:pPr>
    </w:lvl>
    <w:lvl w:ilvl="6" w:tplc="0C882628">
      <w:start w:val="1"/>
      <w:numFmt w:val="decimal"/>
      <w:lvlText w:val="%7."/>
      <w:lvlJc w:val="right"/>
      <w:pPr>
        <w:ind w:left="3500" w:hanging="180"/>
      </w:pPr>
    </w:lvl>
    <w:lvl w:ilvl="7" w:tplc="36167C5C">
      <w:start w:val="1"/>
      <w:numFmt w:val="decimal"/>
      <w:lvlText w:val="%8."/>
      <w:lvlJc w:val="right"/>
      <w:pPr>
        <w:ind w:left="4000" w:hanging="180"/>
      </w:pPr>
    </w:lvl>
    <w:lvl w:ilvl="8" w:tplc="3C04CCD2">
      <w:start w:val="1"/>
      <w:numFmt w:val="decimal"/>
      <w:lvlText w:val="%9."/>
      <w:lvlJc w:val="right"/>
      <w:pPr>
        <w:ind w:left="4500" w:hanging="180"/>
      </w:pPr>
    </w:lvl>
  </w:abstractNum>
  <w:abstractNum w:abstractNumId="13" w15:restartNumberingAfterBreak="0">
    <w:nsid w:val="0F9C0570"/>
    <w:multiLevelType w:val="hybridMultilevel"/>
    <w:tmpl w:val="3496E118"/>
    <w:lvl w:ilvl="0" w:tplc="E786B0D0">
      <w:start w:val="1"/>
      <w:numFmt w:val="bullet"/>
      <w:pStyle w:val="Bulle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755903"/>
    <w:multiLevelType w:val="hybridMultilevel"/>
    <w:tmpl w:val="0E3A2A66"/>
    <w:name w:val="CPSNumberingScheme"/>
    <w:lvl w:ilvl="0" w:tplc="E03027A6">
      <w:start w:val="1"/>
      <w:numFmt w:val="decimal"/>
      <w:lvlText w:val="%1."/>
      <w:lvlJc w:val="right"/>
      <w:pPr>
        <w:ind w:left="500" w:hanging="180"/>
      </w:pPr>
    </w:lvl>
    <w:lvl w:ilvl="1" w:tplc="91C01ADA">
      <w:start w:val="1"/>
      <w:numFmt w:val="decimal"/>
      <w:lvlText w:val="%2."/>
      <w:lvlJc w:val="right"/>
      <w:pPr>
        <w:ind w:left="1000" w:hanging="180"/>
      </w:pPr>
    </w:lvl>
    <w:lvl w:ilvl="2" w:tplc="994C76C8">
      <w:start w:val="1"/>
      <w:numFmt w:val="decimal"/>
      <w:lvlText w:val="%3."/>
      <w:lvlJc w:val="right"/>
      <w:pPr>
        <w:ind w:left="1500" w:hanging="180"/>
      </w:pPr>
    </w:lvl>
    <w:lvl w:ilvl="3" w:tplc="4BEE8038">
      <w:start w:val="1"/>
      <w:numFmt w:val="decimal"/>
      <w:lvlText w:val="%4."/>
      <w:lvlJc w:val="right"/>
      <w:pPr>
        <w:ind w:left="2000" w:hanging="180"/>
      </w:pPr>
    </w:lvl>
    <w:lvl w:ilvl="4" w:tplc="43E6415C">
      <w:start w:val="1"/>
      <w:numFmt w:val="decimal"/>
      <w:lvlText w:val="%5."/>
      <w:lvlJc w:val="right"/>
      <w:pPr>
        <w:ind w:left="2500" w:hanging="180"/>
      </w:pPr>
    </w:lvl>
    <w:lvl w:ilvl="5" w:tplc="B89CB1B2">
      <w:start w:val="1"/>
      <w:numFmt w:val="decimal"/>
      <w:lvlText w:val="%6."/>
      <w:lvlJc w:val="right"/>
      <w:pPr>
        <w:ind w:left="3000" w:hanging="180"/>
      </w:pPr>
    </w:lvl>
    <w:lvl w:ilvl="6" w:tplc="884EB78C">
      <w:start w:val="1"/>
      <w:numFmt w:val="decimal"/>
      <w:lvlText w:val="%7."/>
      <w:lvlJc w:val="right"/>
      <w:pPr>
        <w:ind w:left="3500" w:hanging="180"/>
      </w:pPr>
    </w:lvl>
    <w:lvl w:ilvl="7" w:tplc="0F30EB00">
      <w:start w:val="1"/>
      <w:numFmt w:val="decimal"/>
      <w:lvlText w:val="%8."/>
      <w:lvlJc w:val="right"/>
      <w:pPr>
        <w:ind w:left="4000" w:hanging="180"/>
      </w:pPr>
    </w:lvl>
    <w:lvl w:ilvl="8" w:tplc="25048018">
      <w:start w:val="1"/>
      <w:numFmt w:val="decimal"/>
      <w:lvlText w:val="%9."/>
      <w:lvlJc w:val="right"/>
      <w:pPr>
        <w:ind w:left="4500" w:hanging="180"/>
      </w:pPr>
    </w:lvl>
  </w:abstractNum>
  <w:abstractNum w:abstractNumId="15" w15:restartNumberingAfterBreak="0">
    <w:nsid w:val="12487641"/>
    <w:multiLevelType w:val="hybridMultilevel"/>
    <w:tmpl w:val="F1E0A5D6"/>
    <w:name w:val="CPSNumberingScheme"/>
    <w:lvl w:ilvl="0" w:tplc="75F0D29C">
      <w:start w:val="1"/>
      <w:numFmt w:val="decimal"/>
      <w:lvlText w:val="%1."/>
      <w:lvlJc w:val="right"/>
      <w:pPr>
        <w:ind w:left="500" w:hanging="180"/>
      </w:pPr>
    </w:lvl>
    <w:lvl w:ilvl="1" w:tplc="67F82E7C">
      <w:start w:val="1"/>
      <w:numFmt w:val="decimal"/>
      <w:lvlText w:val="%2."/>
      <w:lvlJc w:val="right"/>
      <w:pPr>
        <w:ind w:left="1000" w:hanging="180"/>
      </w:pPr>
    </w:lvl>
    <w:lvl w:ilvl="2" w:tplc="D02E33C8">
      <w:start w:val="1"/>
      <w:numFmt w:val="decimal"/>
      <w:lvlText w:val="%3."/>
      <w:lvlJc w:val="right"/>
      <w:pPr>
        <w:ind w:left="1500" w:hanging="180"/>
      </w:pPr>
    </w:lvl>
    <w:lvl w:ilvl="3" w:tplc="0B24E08A">
      <w:start w:val="1"/>
      <w:numFmt w:val="decimal"/>
      <w:lvlText w:val="%4."/>
      <w:lvlJc w:val="right"/>
      <w:pPr>
        <w:ind w:left="2000" w:hanging="180"/>
      </w:pPr>
    </w:lvl>
    <w:lvl w:ilvl="4" w:tplc="9AB492F0">
      <w:start w:val="1"/>
      <w:numFmt w:val="decimal"/>
      <w:lvlText w:val="%5."/>
      <w:lvlJc w:val="right"/>
      <w:pPr>
        <w:ind w:left="2500" w:hanging="180"/>
      </w:pPr>
    </w:lvl>
    <w:lvl w:ilvl="5" w:tplc="839C9E62">
      <w:start w:val="1"/>
      <w:numFmt w:val="decimal"/>
      <w:lvlText w:val="%6."/>
      <w:lvlJc w:val="right"/>
      <w:pPr>
        <w:ind w:left="3000" w:hanging="180"/>
      </w:pPr>
    </w:lvl>
    <w:lvl w:ilvl="6" w:tplc="A83EFE58">
      <w:start w:val="1"/>
      <w:numFmt w:val="decimal"/>
      <w:lvlText w:val="%7."/>
      <w:lvlJc w:val="right"/>
      <w:pPr>
        <w:ind w:left="3500" w:hanging="180"/>
      </w:pPr>
    </w:lvl>
    <w:lvl w:ilvl="7" w:tplc="2C94939C">
      <w:start w:val="1"/>
      <w:numFmt w:val="decimal"/>
      <w:lvlText w:val="%8."/>
      <w:lvlJc w:val="right"/>
      <w:pPr>
        <w:ind w:left="4000" w:hanging="180"/>
      </w:pPr>
    </w:lvl>
    <w:lvl w:ilvl="8" w:tplc="6B3C56AC">
      <w:start w:val="1"/>
      <w:numFmt w:val="decimal"/>
      <w:lvlText w:val="%9."/>
      <w:lvlJc w:val="right"/>
      <w:pPr>
        <w:ind w:left="4500" w:hanging="180"/>
      </w:pPr>
    </w:lvl>
  </w:abstractNum>
  <w:abstractNum w:abstractNumId="16" w15:restartNumberingAfterBreak="0">
    <w:nsid w:val="173325B9"/>
    <w:multiLevelType w:val="hybridMultilevel"/>
    <w:tmpl w:val="CC14A78A"/>
    <w:name w:val="CPSNumberingScheme"/>
    <w:lvl w:ilvl="0" w:tplc="DBB07E62">
      <w:start w:val="1"/>
      <w:numFmt w:val="decimal"/>
      <w:lvlText w:val="%1."/>
      <w:lvlJc w:val="right"/>
      <w:pPr>
        <w:ind w:left="500" w:hanging="180"/>
      </w:pPr>
    </w:lvl>
    <w:lvl w:ilvl="1" w:tplc="DCA0A4C8">
      <w:start w:val="1"/>
      <w:numFmt w:val="decimal"/>
      <w:lvlText w:val="%2."/>
      <w:lvlJc w:val="right"/>
      <w:pPr>
        <w:ind w:left="1000" w:hanging="180"/>
      </w:pPr>
    </w:lvl>
    <w:lvl w:ilvl="2" w:tplc="3E222442">
      <w:start w:val="1"/>
      <w:numFmt w:val="decimal"/>
      <w:lvlText w:val="%3."/>
      <w:lvlJc w:val="right"/>
      <w:pPr>
        <w:ind w:left="1500" w:hanging="180"/>
      </w:pPr>
    </w:lvl>
    <w:lvl w:ilvl="3" w:tplc="73167A72">
      <w:start w:val="1"/>
      <w:numFmt w:val="decimal"/>
      <w:lvlText w:val="%4."/>
      <w:lvlJc w:val="right"/>
      <w:pPr>
        <w:ind w:left="2000" w:hanging="180"/>
      </w:pPr>
    </w:lvl>
    <w:lvl w:ilvl="4" w:tplc="C6A2B3DC">
      <w:start w:val="1"/>
      <w:numFmt w:val="decimal"/>
      <w:lvlText w:val="%5."/>
      <w:lvlJc w:val="right"/>
      <w:pPr>
        <w:ind w:left="2500" w:hanging="180"/>
      </w:pPr>
    </w:lvl>
    <w:lvl w:ilvl="5" w:tplc="ACA6E39A">
      <w:start w:val="1"/>
      <w:numFmt w:val="decimal"/>
      <w:lvlText w:val="%6."/>
      <w:lvlJc w:val="right"/>
      <w:pPr>
        <w:ind w:left="3000" w:hanging="180"/>
      </w:pPr>
    </w:lvl>
    <w:lvl w:ilvl="6" w:tplc="3B7C5DC2">
      <w:start w:val="1"/>
      <w:numFmt w:val="decimal"/>
      <w:lvlText w:val="%7."/>
      <w:lvlJc w:val="right"/>
      <w:pPr>
        <w:ind w:left="3500" w:hanging="180"/>
      </w:pPr>
    </w:lvl>
    <w:lvl w:ilvl="7" w:tplc="5F5264E0">
      <w:start w:val="1"/>
      <w:numFmt w:val="decimal"/>
      <w:lvlText w:val="%8."/>
      <w:lvlJc w:val="right"/>
      <w:pPr>
        <w:ind w:left="4000" w:hanging="180"/>
      </w:pPr>
    </w:lvl>
    <w:lvl w:ilvl="8" w:tplc="740461DA">
      <w:start w:val="1"/>
      <w:numFmt w:val="decimal"/>
      <w:lvlText w:val="%9."/>
      <w:lvlJc w:val="right"/>
      <w:pPr>
        <w:ind w:left="4500" w:hanging="180"/>
      </w:pPr>
    </w:lvl>
  </w:abstractNum>
  <w:abstractNum w:abstractNumId="17" w15:restartNumberingAfterBreak="0">
    <w:nsid w:val="1A4038CB"/>
    <w:multiLevelType w:val="hybridMultilevel"/>
    <w:tmpl w:val="1966C246"/>
    <w:name w:val="CPSNumberingScheme"/>
    <w:lvl w:ilvl="0" w:tplc="86169EF8">
      <w:start w:val="1"/>
      <w:numFmt w:val="decimal"/>
      <w:lvlText w:val="%1."/>
      <w:lvlJc w:val="right"/>
      <w:pPr>
        <w:ind w:left="500" w:hanging="180"/>
      </w:pPr>
    </w:lvl>
    <w:lvl w:ilvl="1" w:tplc="3654AEE0">
      <w:start w:val="1"/>
      <w:numFmt w:val="decimal"/>
      <w:lvlText w:val="%2."/>
      <w:lvlJc w:val="right"/>
      <w:pPr>
        <w:ind w:left="1000" w:hanging="180"/>
      </w:pPr>
    </w:lvl>
    <w:lvl w:ilvl="2" w:tplc="53229EDE">
      <w:start w:val="1"/>
      <w:numFmt w:val="decimal"/>
      <w:lvlText w:val="%3."/>
      <w:lvlJc w:val="right"/>
      <w:pPr>
        <w:ind w:left="1500" w:hanging="180"/>
      </w:pPr>
    </w:lvl>
    <w:lvl w:ilvl="3" w:tplc="2362AEF0">
      <w:start w:val="1"/>
      <w:numFmt w:val="decimal"/>
      <w:lvlText w:val="%4."/>
      <w:lvlJc w:val="right"/>
      <w:pPr>
        <w:ind w:left="2000" w:hanging="180"/>
      </w:pPr>
    </w:lvl>
    <w:lvl w:ilvl="4" w:tplc="AB4AB0A6">
      <w:start w:val="1"/>
      <w:numFmt w:val="decimal"/>
      <w:lvlText w:val="%5."/>
      <w:lvlJc w:val="right"/>
      <w:pPr>
        <w:ind w:left="2500" w:hanging="180"/>
      </w:pPr>
    </w:lvl>
    <w:lvl w:ilvl="5" w:tplc="436CE9C6">
      <w:start w:val="1"/>
      <w:numFmt w:val="decimal"/>
      <w:lvlText w:val="%6."/>
      <w:lvlJc w:val="right"/>
      <w:pPr>
        <w:ind w:left="3000" w:hanging="180"/>
      </w:pPr>
    </w:lvl>
    <w:lvl w:ilvl="6" w:tplc="1270D2AA">
      <w:start w:val="1"/>
      <w:numFmt w:val="decimal"/>
      <w:lvlText w:val="%7."/>
      <w:lvlJc w:val="right"/>
      <w:pPr>
        <w:ind w:left="3500" w:hanging="180"/>
      </w:pPr>
    </w:lvl>
    <w:lvl w:ilvl="7" w:tplc="5CE2C336">
      <w:start w:val="1"/>
      <w:numFmt w:val="decimal"/>
      <w:lvlText w:val="%8."/>
      <w:lvlJc w:val="right"/>
      <w:pPr>
        <w:ind w:left="4000" w:hanging="180"/>
      </w:pPr>
    </w:lvl>
    <w:lvl w:ilvl="8" w:tplc="83D4D432">
      <w:start w:val="1"/>
      <w:numFmt w:val="decimal"/>
      <w:lvlText w:val="%9."/>
      <w:lvlJc w:val="right"/>
      <w:pPr>
        <w:ind w:left="4500" w:hanging="180"/>
      </w:pPr>
    </w:lvl>
  </w:abstractNum>
  <w:abstractNum w:abstractNumId="18" w15:restartNumberingAfterBreak="0">
    <w:nsid w:val="1D2E1299"/>
    <w:multiLevelType w:val="hybridMultilevel"/>
    <w:tmpl w:val="3D566046"/>
    <w:name w:val="CPSNumberingScheme"/>
    <w:lvl w:ilvl="0" w:tplc="C53C2B0E">
      <w:start w:val="1"/>
      <w:numFmt w:val="decimal"/>
      <w:lvlText w:val="%1."/>
      <w:lvlJc w:val="right"/>
      <w:pPr>
        <w:ind w:left="500" w:hanging="180"/>
      </w:pPr>
    </w:lvl>
    <w:lvl w:ilvl="1" w:tplc="2A382AE6">
      <w:start w:val="1"/>
      <w:numFmt w:val="decimal"/>
      <w:lvlText w:val="%2."/>
      <w:lvlJc w:val="right"/>
      <w:pPr>
        <w:ind w:left="1000" w:hanging="180"/>
      </w:pPr>
    </w:lvl>
    <w:lvl w:ilvl="2" w:tplc="06AC3FB0">
      <w:start w:val="1"/>
      <w:numFmt w:val="decimal"/>
      <w:lvlText w:val="%3."/>
      <w:lvlJc w:val="right"/>
      <w:pPr>
        <w:ind w:left="1500" w:hanging="180"/>
      </w:pPr>
    </w:lvl>
    <w:lvl w:ilvl="3" w:tplc="CDE099EC">
      <w:start w:val="1"/>
      <w:numFmt w:val="decimal"/>
      <w:lvlText w:val="%4."/>
      <w:lvlJc w:val="right"/>
      <w:pPr>
        <w:ind w:left="2000" w:hanging="180"/>
      </w:pPr>
    </w:lvl>
    <w:lvl w:ilvl="4" w:tplc="9D40324E">
      <w:start w:val="1"/>
      <w:numFmt w:val="decimal"/>
      <w:lvlText w:val="%5."/>
      <w:lvlJc w:val="right"/>
      <w:pPr>
        <w:ind w:left="2500" w:hanging="180"/>
      </w:pPr>
    </w:lvl>
    <w:lvl w:ilvl="5" w:tplc="490E3406">
      <w:start w:val="1"/>
      <w:numFmt w:val="decimal"/>
      <w:lvlText w:val="%6."/>
      <w:lvlJc w:val="right"/>
      <w:pPr>
        <w:ind w:left="3000" w:hanging="180"/>
      </w:pPr>
    </w:lvl>
    <w:lvl w:ilvl="6" w:tplc="59F43D32">
      <w:start w:val="1"/>
      <w:numFmt w:val="decimal"/>
      <w:lvlText w:val="%7."/>
      <w:lvlJc w:val="right"/>
      <w:pPr>
        <w:ind w:left="3500" w:hanging="180"/>
      </w:pPr>
    </w:lvl>
    <w:lvl w:ilvl="7" w:tplc="0E10BF94">
      <w:start w:val="1"/>
      <w:numFmt w:val="decimal"/>
      <w:lvlText w:val="%8."/>
      <w:lvlJc w:val="right"/>
      <w:pPr>
        <w:ind w:left="4000" w:hanging="180"/>
      </w:pPr>
    </w:lvl>
    <w:lvl w:ilvl="8" w:tplc="25E411F2">
      <w:start w:val="1"/>
      <w:numFmt w:val="decimal"/>
      <w:lvlText w:val="%9."/>
      <w:lvlJc w:val="right"/>
      <w:pPr>
        <w:ind w:left="4500" w:hanging="180"/>
      </w:pPr>
    </w:lvl>
  </w:abstractNum>
  <w:abstractNum w:abstractNumId="19" w15:restartNumberingAfterBreak="0">
    <w:nsid w:val="1D5A420C"/>
    <w:multiLevelType w:val="hybridMultilevel"/>
    <w:tmpl w:val="04742170"/>
    <w:name w:val="CPSNumberingScheme"/>
    <w:lvl w:ilvl="0" w:tplc="42B44796">
      <w:start w:val="1"/>
      <w:numFmt w:val="decimal"/>
      <w:lvlText w:val="%1."/>
      <w:lvlJc w:val="right"/>
      <w:pPr>
        <w:ind w:left="500" w:hanging="180"/>
      </w:pPr>
    </w:lvl>
    <w:lvl w:ilvl="1" w:tplc="B84A787C">
      <w:start w:val="1"/>
      <w:numFmt w:val="decimal"/>
      <w:lvlText w:val="%2."/>
      <w:lvlJc w:val="right"/>
      <w:pPr>
        <w:ind w:left="1000" w:hanging="180"/>
      </w:pPr>
    </w:lvl>
    <w:lvl w:ilvl="2" w:tplc="AE14E734">
      <w:start w:val="1"/>
      <w:numFmt w:val="decimal"/>
      <w:lvlText w:val="%3."/>
      <w:lvlJc w:val="right"/>
      <w:pPr>
        <w:ind w:left="1500" w:hanging="180"/>
      </w:pPr>
    </w:lvl>
    <w:lvl w:ilvl="3" w:tplc="3D00A532">
      <w:start w:val="1"/>
      <w:numFmt w:val="decimal"/>
      <w:lvlText w:val="%4."/>
      <w:lvlJc w:val="right"/>
      <w:pPr>
        <w:ind w:left="2000" w:hanging="180"/>
      </w:pPr>
    </w:lvl>
    <w:lvl w:ilvl="4" w:tplc="00A05108">
      <w:start w:val="1"/>
      <w:numFmt w:val="decimal"/>
      <w:lvlText w:val="%5."/>
      <w:lvlJc w:val="right"/>
      <w:pPr>
        <w:ind w:left="2500" w:hanging="180"/>
      </w:pPr>
    </w:lvl>
    <w:lvl w:ilvl="5" w:tplc="32E256B2">
      <w:start w:val="1"/>
      <w:numFmt w:val="decimal"/>
      <w:lvlText w:val="%6."/>
      <w:lvlJc w:val="right"/>
      <w:pPr>
        <w:ind w:left="3000" w:hanging="180"/>
      </w:pPr>
    </w:lvl>
    <w:lvl w:ilvl="6" w:tplc="3C70171E">
      <w:start w:val="1"/>
      <w:numFmt w:val="decimal"/>
      <w:lvlText w:val="%7."/>
      <w:lvlJc w:val="right"/>
      <w:pPr>
        <w:ind w:left="3500" w:hanging="180"/>
      </w:pPr>
    </w:lvl>
    <w:lvl w:ilvl="7" w:tplc="6032C11A">
      <w:start w:val="1"/>
      <w:numFmt w:val="decimal"/>
      <w:lvlText w:val="%8."/>
      <w:lvlJc w:val="right"/>
      <w:pPr>
        <w:ind w:left="4000" w:hanging="180"/>
      </w:pPr>
    </w:lvl>
    <w:lvl w:ilvl="8" w:tplc="B626434C">
      <w:start w:val="1"/>
      <w:numFmt w:val="decimal"/>
      <w:lvlText w:val="%9."/>
      <w:lvlJc w:val="right"/>
      <w:pPr>
        <w:ind w:left="4500" w:hanging="180"/>
      </w:pPr>
    </w:lvl>
  </w:abstractNum>
  <w:abstractNum w:abstractNumId="20" w15:restartNumberingAfterBreak="0">
    <w:nsid w:val="1E95770D"/>
    <w:multiLevelType w:val="hybridMultilevel"/>
    <w:tmpl w:val="E924B616"/>
    <w:name w:val="CPSNumberingScheme"/>
    <w:lvl w:ilvl="0" w:tplc="D7D46D6A">
      <w:start w:val="1"/>
      <w:numFmt w:val="decimal"/>
      <w:lvlText w:val="%1."/>
      <w:lvlJc w:val="right"/>
      <w:pPr>
        <w:ind w:left="500" w:hanging="180"/>
      </w:pPr>
    </w:lvl>
    <w:lvl w:ilvl="1" w:tplc="1CE4B762">
      <w:start w:val="1"/>
      <w:numFmt w:val="decimal"/>
      <w:lvlText w:val="%2."/>
      <w:lvlJc w:val="right"/>
      <w:pPr>
        <w:ind w:left="1000" w:hanging="180"/>
      </w:pPr>
    </w:lvl>
    <w:lvl w:ilvl="2" w:tplc="9D50A11A">
      <w:start w:val="1"/>
      <w:numFmt w:val="decimal"/>
      <w:lvlText w:val="%3."/>
      <w:lvlJc w:val="right"/>
      <w:pPr>
        <w:ind w:left="1500" w:hanging="180"/>
      </w:pPr>
    </w:lvl>
    <w:lvl w:ilvl="3" w:tplc="FDD8E51A">
      <w:start w:val="1"/>
      <w:numFmt w:val="decimal"/>
      <w:lvlText w:val="%4."/>
      <w:lvlJc w:val="right"/>
      <w:pPr>
        <w:ind w:left="2000" w:hanging="180"/>
      </w:pPr>
    </w:lvl>
    <w:lvl w:ilvl="4" w:tplc="9B72133C">
      <w:start w:val="1"/>
      <w:numFmt w:val="decimal"/>
      <w:lvlText w:val="%5."/>
      <w:lvlJc w:val="right"/>
      <w:pPr>
        <w:ind w:left="2500" w:hanging="180"/>
      </w:pPr>
    </w:lvl>
    <w:lvl w:ilvl="5" w:tplc="46B02E16">
      <w:start w:val="1"/>
      <w:numFmt w:val="decimal"/>
      <w:lvlText w:val="%6."/>
      <w:lvlJc w:val="right"/>
      <w:pPr>
        <w:ind w:left="3000" w:hanging="180"/>
      </w:pPr>
    </w:lvl>
    <w:lvl w:ilvl="6" w:tplc="8B92F084">
      <w:start w:val="1"/>
      <w:numFmt w:val="decimal"/>
      <w:lvlText w:val="%7."/>
      <w:lvlJc w:val="right"/>
      <w:pPr>
        <w:ind w:left="3500" w:hanging="180"/>
      </w:pPr>
    </w:lvl>
    <w:lvl w:ilvl="7" w:tplc="B0121BB6">
      <w:start w:val="1"/>
      <w:numFmt w:val="decimal"/>
      <w:lvlText w:val="%8."/>
      <w:lvlJc w:val="right"/>
      <w:pPr>
        <w:ind w:left="4000" w:hanging="180"/>
      </w:pPr>
    </w:lvl>
    <w:lvl w:ilvl="8" w:tplc="5BC28360">
      <w:start w:val="1"/>
      <w:numFmt w:val="decimal"/>
      <w:lvlText w:val="%9."/>
      <w:lvlJc w:val="right"/>
      <w:pPr>
        <w:ind w:left="4500" w:hanging="180"/>
      </w:pPr>
    </w:lvl>
  </w:abstractNum>
  <w:abstractNum w:abstractNumId="21" w15:restartNumberingAfterBreak="0">
    <w:nsid w:val="1FFB1D35"/>
    <w:multiLevelType w:val="hybridMultilevel"/>
    <w:tmpl w:val="5AA605D8"/>
    <w:name w:val="CPSNumberingScheme"/>
    <w:lvl w:ilvl="0" w:tplc="AF42E4EC">
      <w:start w:val="1"/>
      <w:numFmt w:val="decimal"/>
      <w:lvlText w:val="%1."/>
      <w:lvlJc w:val="right"/>
      <w:pPr>
        <w:ind w:left="500" w:hanging="180"/>
      </w:pPr>
    </w:lvl>
    <w:lvl w:ilvl="1" w:tplc="D2C0C320">
      <w:start w:val="1"/>
      <w:numFmt w:val="decimal"/>
      <w:lvlText w:val="%2."/>
      <w:lvlJc w:val="right"/>
      <w:pPr>
        <w:ind w:left="1000" w:hanging="180"/>
      </w:pPr>
    </w:lvl>
    <w:lvl w:ilvl="2" w:tplc="4F90D226">
      <w:start w:val="1"/>
      <w:numFmt w:val="decimal"/>
      <w:lvlText w:val="%3."/>
      <w:lvlJc w:val="right"/>
      <w:pPr>
        <w:ind w:left="1500" w:hanging="180"/>
      </w:pPr>
    </w:lvl>
    <w:lvl w:ilvl="3" w:tplc="B59EDE64">
      <w:start w:val="1"/>
      <w:numFmt w:val="decimal"/>
      <w:lvlText w:val="%4."/>
      <w:lvlJc w:val="right"/>
      <w:pPr>
        <w:ind w:left="2000" w:hanging="180"/>
      </w:pPr>
    </w:lvl>
    <w:lvl w:ilvl="4" w:tplc="5582EC60">
      <w:start w:val="1"/>
      <w:numFmt w:val="decimal"/>
      <w:lvlText w:val="%5."/>
      <w:lvlJc w:val="right"/>
      <w:pPr>
        <w:ind w:left="2500" w:hanging="180"/>
      </w:pPr>
    </w:lvl>
    <w:lvl w:ilvl="5" w:tplc="A3D00D12">
      <w:start w:val="1"/>
      <w:numFmt w:val="decimal"/>
      <w:lvlText w:val="%6."/>
      <w:lvlJc w:val="right"/>
      <w:pPr>
        <w:ind w:left="3000" w:hanging="180"/>
      </w:pPr>
    </w:lvl>
    <w:lvl w:ilvl="6" w:tplc="A964EC72">
      <w:start w:val="1"/>
      <w:numFmt w:val="decimal"/>
      <w:lvlText w:val="%7."/>
      <w:lvlJc w:val="right"/>
      <w:pPr>
        <w:ind w:left="3500" w:hanging="180"/>
      </w:pPr>
    </w:lvl>
    <w:lvl w:ilvl="7" w:tplc="5ED0DD6C">
      <w:start w:val="1"/>
      <w:numFmt w:val="decimal"/>
      <w:lvlText w:val="%8."/>
      <w:lvlJc w:val="right"/>
      <w:pPr>
        <w:ind w:left="4000" w:hanging="180"/>
      </w:pPr>
    </w:lvl>
    <w:lvl w:ilvl="8" w:tplc="376C9C0C">
      <w:start w:val="1"/>
      <w:numFmt w:val="decimal"/>
      <w:lvlText w:val="%9."/>
      <w:lvlJc w:val="right"/>
      <w:pPr>
        <w:ind w:left="4500" w:hanging="180"/>
      </w:pPr>
    </w:lvl>
  </w:abstractNum>
  <w:abstractNum w:abstractNumId="22" w15:restartNumberingAfterBreak="0">
    <w:nsid w:val="22BD69CC"/>
    <w:multiLevelType w:val="hybridMultilevel"/>
    <w:tmpl w:val="F8E2998C"/>
    <w:name w:val="CPSNumberingScheme"/>
    <w:lvl w:ilvl="0" w:tplc="2DE4F30E">
      <w:start w:val="1"/>
      <w:numFmt w:val="decimal"/>
      <w:lvlText w:val="%1."/>
      <w:lvlJc w:val="right"/>
      <w:pPr>
        <w:ind w:left="500" w:hanging="180"/>
      </w:pPr>
    </w:lvl>
    <w:lvl w:ilvl="1" w:tplc="0284D0D8">
      <w:start w:val="1"/>
      <w:numFmt w:val="decimal"/>
      <w:lvlText w:val="%2."/>
      <w:lvlJc w:val="right"/>
      <w:pPr>
        <w:ind w:left="1000" w:hanging="180"/>
      </w:pPr>
    </w:lvl>
    <w:lvl w:ilvl="2" w:tplc="7D20CD80">
      <w:start w:val="1"/>
      <w:numFmt w:val="decimal"/>
      <w:lvlText w:val="%3."/>
      <w:lvlJc w:val="right"/>
      <w:pPr>
        <w:ind w:left="1500" w:hanging="180"/>
      </w:pPr>
    </w:lvl>
    <w:lvl w:ilvl="3" w:tplc="361C3EE4">
      <w:start w:val="1"/>
      <w:numFmt w:val="decimal"/>
      <w:lvlText w:val="%4."/>
      <w:lvlJc w:val="right"/>
      <w:pPr>
        <w:ind w:left="2000" w:hanging="180"/>
      </w:pPr>
    </w:lvl>
    <w:lvl w:ilvl="4" w:tplc="1038B8C2">
      <w:start w:val="1"/>
      <w:numFmt w:val="decimal"/>
      <w:lvlText w:val="%5."/>
      <w:lvlJc w:val="right"/>
      <w:pPr>
        <w:ind w:left="2500" w:hanging="180"/>
      </w:pPr>
    </w:lvl>
    <w:lvl w:ilvl="5" w:tplc="A436138E">
      <w:start w:val="1"/>
      <w:numFmt w:val="decimal"/>
      <w:lvlText w:val="%6."/>
      <w:lvlJc w:val="right"/>
      <w:pPr>
        <w:ind w:left="3000" w:hanging="180"/>
      </w:pPr>
    </w:lvl>
    <w:lvl w:ilvl="6" w:tplc="9A206004">
      <w:start w:val="1"/>
      <w:numFmt w:val="decimal"/>
      <w:lvlText w:val="%7."/>
      <w:lvlJc w:val="right"/>
      <w:pPr>
        <w:ind w:left="3500" w:hanging="180"/>
      </w:pPr>
    </w:lvl>
    <w:lvl w:ilvl="7" w:tplc="DF068A98">
      <w:start w:val="1"/>
      <w:numFmt w:val="decimal"/>
      <w:lvlText w:val="%8."/>
      <w:lvlJc w:val="right"/>
      <w:pPr>
        <w:ind w:left="4000" w:hanging="180"/>
      </w:pPr>
    </w:lvl>
    <w:lvl w:ilvl="8" w:tplc="6FF6BEE4">
      <w:start w:val="1"/>
      <w:numFmt w:val="decimal"/>
      <w:lvlText w:val="%9."/>
      <w:lvlJc w:val="right"/>
      <w:pPr>
        <w:ind w:left="4500" w:hanging="180"/>
      </w:pPr>
    </w:lvl>
  </w:abstractNum>
  <w:abstractNum w:abstractNumId="23" w15:restartNumberingAfterBreak="0">
    <w:nsid w:val="231C296C"/>
    <w:multiLevelType w:val="hybridMultilevel"/>
    <w:tmpl w:val="973C569A"/>
    <w:name w:val="CPSNumberingScheme"/>
    <w:lvl w:ilvl="0" w:tplc="E676D6FE">
      <w:start w:val="1"/>
      <w:numFmt w:val="decimal"/>
      <w:lvlText w:val="%1."/>
      <w:lvlJc w:val="right"/>
      <w:pPr>
        <w:ind w:left="500" w:hanging="180"/>
      </w:pPr>
    </w:lvl>
    <w:lvl w:ilvl="1" w:tplc="6ABC3C0A">
      <w:start w:val="1"/>
      <w:numFmt w:val="decimal"/>
      <w:lvlText w:val="%2."/>
      <w:lvlJc w:val="right"/>
      <w:pPr>
        <w:ind w:left="1000" w:hanging="180"/>
      </w:pPr>
    </w:lvl>
    <w:lvl w:ilvl="2" w:tplc="C6D8FCC0">
      <w:start w:val="1"/>
      <w:numFmt w:val="decimal"/>
      <w:lvlText w:val="%3."/>
      <w:lvlJc w:val="right"/>
      <w:pPr>
        <w:ind w:left="1500" w:hanging="180"/>
      </w:pPr>
    </w:lvl>
    <w:lvl w:ilvl="3" w:tplc="DB109654">
      <w:start w:val="1"/>
      <w:numFmt w:val="decimal"/>
      <w:lvlText w:val="%4."/>
      <w:lvlJc w:val="right"/>
      <w:pPr>
        <w:ind w:left="2000" w:hanging="180"/>
      </w:pPr>
    </w:lvl>
    <w:lvl w:ilvl="4" w:tplc="83D85AD6">
      <w:start w:val="1"/>
      <w:numFmt w:val="decimal"/>
      <w:lvlText w:val="%5."/>
      <w:lvlJc w:val="right"/>
      <w:pPr>
        <w:ind w:left="2500" w:hanging="180"/>
      </w:pPr>
    </w:lvl>
    <w:lvl w:ilvl="5" w:tplc="50D43232">
      <w:start w:val="1"/>
      <w:numFmt w:val="decimal"/>
      <w:lvlText w:val="%6."/>
      <w:lvlJc w:val="right"/>
      <w:pPr>
        <w:ind w:left="3000" w:hanging="180"/>
      </w:pPr>
    </w:lvl>
    <w:lvl w:ilvl="6" w:tplc="17F20F74">
      <w:start w:val="1"/>
      <w:numFmt w:val="decimal"/>
      <w:lvlText w:val="%7."/>
      <w:lvlJc w:val="right"/>
      <w:pPr>
        <w:ind w:left="3500" w:hanging="180"/>
      </w:pPr>
    </w:lvl>
    <w:lvl w:ilvl="7" w:tplc="2054850C">
      <w:start w:val="1"/>
      <w:numFmt w:val="decimal"/>
      <w:lvlText w:val="%8."/>
      <w:lvlJc w:val="right"/>
      <w:pPr>
        <w:ind w:left="4000" w:hanging="180"/>
      </w:pPr>
    </w:lvl>
    <w:lvl w:ilvl="8" w:tplc="BB2AE0F0">
      <w:start w:val="1"/>
      <w:numFmt w:val="decimal"/>
      <w:lvlText w:val="%9."/>
      <w:lvlJc w:val="right"/>
      <w:pPr>
        <w:ind w:left="4500" w:hanging="180"/>
      </w:pPr>
    </w:lvl>
  </w:abstractNum>
  <w:abstractNum w:abstractNumId="24" w15:restartNumberingAfterBreak="0">
    <w:nsid w:val="23AA6909"/>
    <w:multiLevelType w:val="hybridMultilevel"/>
    <w:tmpl w:val="88E8CDCC"/>
    <w:name w:val="CPSNumberingScheme"/>
    <w:lvl w:ilvl="0" w:tplc="B4C0E0A8">
      <w:start w:val="1"/>
      <w:numFmt w:val="decimal"/>
      <w:lvlText w:val="%1."/>
      <w:lvlJc w:val="right"/>
      <w:pPr>
        <w:ind w:left="500" w:hanging="180"/>
      </w:pPr>
    </w:lvl>
    <w:lvl w:ilvl="1" w:tplc="33F237E4">
      <w:start w:val="1"/>
      <w:numFmt w:val="decimal"/>
      <w:lvlText w:val="%2."/>
      <w:lvlJc w:val="right"/>
      <w:pPr>
        <w:ind w:left="1000" w:hanging="180"/>
      </w:pPr>
    </w:lvl>
    <w:lvl w:ilvl="2" w:tplc="6F9878EE">
      <w:start w:val="1"/>
      <w:numFmt w:val="decimal"/>
      <w:lvlText w:val="%3."/>
      <w:lvlJc w:val="right"/>
      <w:pPr>
        <w:ind w:left="1500" w:hanging="180"/>
      </w:pPr>
    </w:lvl>
    <w:lvl w:ilvl="3" w:tplc="B1A46B76">
      <w:start w:val="1"/>
      <w:numFmt w:val="decimal"/>
      <w:lvlText w:val="%4."/>
      <w:lvlJc w:val="right"/>
      <w:pPr>
        <w:ind w:left="2000" w:hanging="180"/>
      </w:pPr>
    </w:lvl>
    <w:lvl w:ilvl="4" w:tplc="FA588F68">
      <w:start w:val="1"/>
      <w:numFmt w:val="decimal"/>
      <w:lvlText w:val="%5."/>
      <w:lvlJc w:val="right"/>
      <w:pPr>
        <w:ind w:left="2500" w:hanging="180"/>
      </w:pPr>
    </w:lvl>
    <w:lvl w:ilvl="5" w:tplc="EC94A104">
      <w:start w:val="1"/>
      <w:numFmt w:val="decimal"/>
      <w:lvlText w:val="%6."/>
      <w:lvlJc w:val="right"/>
      <w:pPr>
        <w:ind w:left="3000" w:hanging="180"/>
      </w:pPr>
    </w:lvl>
    <w:lvl w:ilvl="6" w:tplc="8E9A1F44">
      <w:start w:val="1"/>
      <w:numFmt w:val="decimal"/>
      <w:lvlText w:val="%7."/>
      <w:lvlJc w:val="right"/>
      <w:pPr>
        <w:ind w:left="3500" w:hanging="180"/>
      </w:pPr>
    </w:lvl>
    <w:lvl w:ilvl="7" w:tplc="D9D8D532">
      <w:start w:val="1"/>
      <w:numFmt w:val="decimal"/>
      <w:lvlText w:val="%8."/>
      <w:lvlJc w:val="right"/>
      <w:pPr>
        <w:ind w:left="4000" w:hanging="180"/>
      </w:pPr>
    </w:lvl>
    <w:lvl w:ilvl="8" w:tplc="9F147148">
      <w:start w:val="1"/>
      <w:numFmt w:val="decimal"/>
      <w:lvlText w:val="%9."/>
      <w:lvlJc w:val="right"/>
      <w:pPr>
        <w:ind w:left="4500" w:hanging="180"/>
      </w:pPr>
    </w:lvl>
  </w:abstractNum>
  <w:abstractNum w:abstractNumId="25" w15:restartNumberingAfterBreak="0">
    <w:nsid w:val="24DF4167"/>
    <w:multiLevelType w:val="hybridMultilevel"/>
    <w:tmpl w:val="AD947540"/>
    <w:name w:val="CPSNumberingScheme"/>
    <w:lvl w:ilvl="0" w:tplc="9C0023EA">
      <w:start w:val="1"/>
      <w:numFmt w:val="decimal"/>
      <w:lvlText w:val="%1."/>
      <w:lvlJc w:val="right"/>
      <w:pPr>
        <w:ind w:left="500" w:hanging="180"/>
      </w:pPr>
    </w:lvl>
    <w:lvl w:ilvl="1" w:tplc="2B5CEFDC">
      <w:start w:val="1"/>
      <w:numFmt w:val="decimal"/>
      <w:lvlText w:val="%2."/>
      <w:lvlJc w:val="right"/>
      <w:pPr>
        <w:ind w:left="1000" w:hanging="180"/>
      </w:pPr>
    </w:lvl>
    <w:lvl w:ilvl="2" w:tplc="82EAE8F2">
      <w:start w:val="1"/>
      <w:numFmt w:val="decimal"/>
      <w:lvlText w:val="%3."/>
      <w:lvlJc w:val="right"/>
      <w:pPr>
        <w:ind w:left="1500" w:hanging="180"/>
      </w:pPr>
    </w:lvl>
    <w:lvl w:ilvl="3" w:tplc="356E0B10">
      <w:start w:val="1"/>
      <w:numFmt w:val="decimal"/>
      <w:lvlText w:val="%4."/>
      <w:lvlJc w:val="right"/>
      <w:pPr>
        <w:ind w:left="2000" w:hanging="180"/>
      </w:pPr>
    </w:lvl>
    <w:lvl w:ilvl="4" w:tplc="A04298D0">
      <w:start w:val="1"/>
      <w:numFmt w:val="decimal"/>
      <w:lvlText w:val="%5."/>
      <w:lvlJc w:val="right"/>
      <w:pPr>
        <w:ind w:left="2500" w:hanging="180"/>
      </w:pPr>
    </w:lvl>
    <w:lvl w:ilvl="5" w:tplc="0EBA4378">
      <w:start w:val="1"/>
      <w:numFmt w:val="decimal"/>
      <w:lvlText w:val="%6."/>
      <w:lvlJc w:val="right"/>
      <w:pPr>
        <w:ind w:left="3000" w:hanging="180"/>
      </w:pPr>
    </w:lvl>
    <w:lvl w:ilvl="6" w:tplc="E00A9D3A">
      <w:start w:val="1"/>
      <w:numFmt w:val="decimal"/>
      <w:lvlText w:val="%7."/>
      <w:lvlJc w:val="right"/>
      <w:pPr>
        <w:ind w:left="3500" w:hanging="180"/>
      </w:pPr>
    </w:lvl>
    <w:lvl w:ilvl="7" w:tplc="41A85402">
      <w:start w:val="1"/>
      <w:numFmt w:val="decimal"/>
      <w:lvlText w:val="%8."/>
      <w:lvlJc w:val="right"/>
      <w:pPr>
        <w:ind w:left="4000" w:hanging="180"/>
      </w:pPr>
    </w:lvl>
    <w:lvl w:ilvl="8" w:tplc="2148522E">
      <w:start w:val="1"/>
      <w:numFmt w:val="decimal"/>
      <w:lvlText w:val="%9."/>
      <w:lvlJc w:val="right"/>
      <w:pPr>
        <w:ind w:left="4500" w:hanging="180"/>
      </w:pPr>
    </w:lvl>
  </w:abstractNum>
  <w:abstractNum w:abstractNumId="26" w15:restartNumberingAfterBreak="0">
    <w:nsid w:val="25573091"/>
    <w:multiLevelType w:val="hybridMultilevel"/>
    <w:tmpl w:val="BA608EBE"/>
    <w:name w:val="CPSNumberingScheme"/>
    <w:lvl w:ilvl="0" w:tplc="A822BA36">
      <w:start w:val="1"/>
      <w:numFmt w:val="decimal"/>
      <w:lvlText w:val="%1."/>
      <w:lvlJc w:val="right"/>
      <w:pPr>
        <w:ind w:left="500" w:hanging="180"/>
      </w:pPr>
    </w:lvl>
    <w:lvl w:ilvl="1" w:tplc="1F66EDF6">
      <w:start w:val="1"/>
      <w:numFmt w:val="decimal"/>
      <w:lvlText w:val="%2."/>
      <w:lvlJc w:val="right"/>
      <w:pPr>
        <w:ind w:left="1000" w:hanging="180"/>
      </w:pPr>
    </w:lvl>
    <w:lvl w:ilvl="2" w:tplc="B5C01C46">
      <w:start w:val="1"/>
      <w:numFmt w:val="decimal"/>
      <w:lvlText w:val="%3."/>
      <w:lvlJc w:val="right"/>
      <w:pPr>
        <w:ind w:left="1500" w:hanging="180"/>
      </w:pPr>
    </w:lvl>
    <w:lvl w:ilvl="3" w:tplc="1B201ACA">
      <w:start w:val="1"/>
      <w:numFmt w:val="decimal"/>
      <w:lvlText w:val="%4."/>
      <w:lvlJc w:val="right"/>
      <w:pPr>
        <w:ind w:left="2000" w:hanging="180"/>
      </w:pPr>
    </w:lvl>
    <w:lvl w:ilvl="4" w:tplc="219CCDAA">
      <w:start w:val="1"/>
      <w:numFmt w:val="decimal"/>
      <w:lvlText w:val="%5."/>
      <w:lvlJc w:val="right"/>
      <w:pPr>
        <w:ind w:left="2500" w:hanging="180"/>
      </w:pPr>
    </w:lvl>
    <w:lvl w:ilvl="5" w:tplc="69AA23DA">
      <w:start w:val="1"/>
      <w:numFmt w:val="decimal"/>
      <w:lvlText w:val="%6."/>
      <w:lvlJc w:val="right"/>
      <w:pPr>
        <w:ind w:left="3000" w:hanging="180"/>
      </w:pPr>
    </w:lvl>
    <w:lvl w:ilvl="6" w:tplc="D7F2D978">
      <w:start w:val="1"/>
      <w:numFmt w:val="decimal"/>
      <w:lvlText w:val="%7."/>
      <w:lvlJc w:val="right"/>
      <w:pPr>
        <w:ind w:left="3500" w:hanging="180"/>
      </w:pPr>
    </w:lvl>
    <w:lvl w:ilvl="7" w:tplc="67AA7B94">
      <w:start w:val="1"/>
      <w:numFmt w:val="decimal"/>
      <w:lvlText w:val="%8."/>
      <w:lvlJc w:val="right"/>
      <w:pPr>
        <w:ind w:left="4000" w:hanging="180"/>
      </w:pPr>
    </w:lvl>
    <w:lvl w:ilvl="8" w:tplc="56A468D0">
      <w:start w:val="1"/>
      <w:numFmt w:val="decimal"/>
      <w:lvlText w:val="%9."/>
      <w:lvlJc w:val="right"/>
      <w:pPr>
        <w:ind w:left="4500" w:hanging="180"/>
      </w:pPr>
    </w:lvl>
  </w:abstractNum>
  <w:abstractNum w:abstractNumId="27" w15:restartNumberingAfterBreak="0">
    <w:nsid w:val="258C16E3"/>
    <w:multiLevelType w:val="hybridMultilevel"/>
    <w:tmpl w:val="8E6EBE44"/>
    <w:name w:val="CPSNumberingScheme"/>
    <w:lvl w:ilvl="0" w:tplc="C9264166">
      <w:start w:val="1"/>
      <w:numFmt w:val="decimal"/>
      <w:lvlText w:val="%1."/>
      <w:lvlJc w:val="right"/>
      <w:pPr>
        <w:ind w:left="500" w:hanging="180"/>
      </w:pPr>
    </w:lvl>
    <w:lvl w:ilvl="1" w:tplc="3E7C9088">
      <w:start w:val="1"/>
      <w:numFmt w:val="decimal"/>
      <w:lvlText w:val="%2."/>
      <w:lvlJc w:val="right"/>
      <w:pPr>
        <w:ind w:left="1000" w:hanging="180"/>
      </w:pPr>
    </w:lvl>
    <w:lvl w:ilvl="2" w:tplc="2D9875DE">
      <w:start w:val="1"/>
      <w:numFmt w:val="decimal"/>
      <w:lvlText w:val="%3."/>
      <w:lvlJc w:val="right"/>
      <w:pPr>
        <w:ind w:left="1500" w:hanging="180"/>
      </w:pPr>
    </w:lvl>
    <w:lvl w:ilvl="3" w:tplc="220C7408">
      <w:start w:val="1"/>
      <w:numFmt w:val="decimal"/>
      <w:lvlText w:val="%4."/>
      <w:lvlJc w:val="right"/>
      <w:pPr>
        <w:ind w:left="2000" w:hanging="180"/>
      </w:pPr>
    </w:lvl>
    <w:lvl w:ilvl="4" w:tplc="B3A2E6FE">
      <w:start w:val="1"/>
      <w:numFmt w:val="decimal"/>
      <w:lvlText w:val="%5."/>
      <w:lvlJc w:val="right"/>
      <w:pPr>
        <w:ind w:left="2500" w:hanging="180"/>
      </w:pPr>
    </w:lvl>
    <w:lvl w:ilvl="5" w:tplc="26004DAC">
      <w:start w:val="1"/>
      <w:numFmt w:val="decimal"/>
      <w:lvlText w:val="%6."/>
      <w:lvlJc w:val="right"/>
      <w:pPr>
        <w:ind w:left="3000" w:hanging="180"/>
      </w:pPr>
    </w:lvl>
    <w:lvl w:ilvl="6" w:tplc="1CA40BA6">
      <w:start w:val="1"/>
      <w:numFmt w:val="decimal"/>
      <w:lvlText w:val="%7."/>
      <w:lvlJc w:val="right"/>
      <w:pPr>
        <w:ind w:left="3500" w:hanging="180"/>
      </w:pPr>
    </w:lvl>
    <w:lvl w:ilvl="7" w:tplc="4E6861B0">
      <w:start w:val="1"/>
      <w:numFmt w:val="decimal"/>
      <w:lvlText w:val="%8."/>
      <w:lvlJc w:val="right"/>
      <w:pPr>
        <w:ind w:left="4000" w:hanging="180"/>
      </w:pPr>
    </w:lvl>
    <w:lvl w:ilvl="8" w:tplc="1B34F916">
      <w:start w:val="1"/>
      <w:numFmt w:val="decimal"/>
      <w:lvlText w:val="%9."/>
      <w:lvlJc w:val="right"/>
      <w:pPr>
        <w:ind w:left="4500" w:hanging="180"/>
      </w:pPr>
    </w:lvl>
  </w:abstractNum>
  <w:abstractNum w:abstractNumId="28" w15:restartNumberingAfterBreak="0">
    <w:nsid w:val="25F42F3F"/>
    <w:multiLevelType w:val="hybridMultilevel"/>
    <w:tmpl w:val="73C49980"/>
    <w:name w:val="CPSNumberingScheme"/>
    <w:lvl w:ilvl="0" w:tplc="5EE6329C">
      <w:start w:val="1"/>
      <w:numFmt w:val="decimal"/>
      <w:lvlText w:val="%1."/>
      <w:lvlJc w:val="right"/>
      <w:pPr>
        <w:ind w:left="500" w:hanging="180"/>
      </w:pPr>
    </w:lvl>
    <w:lvl w:ilvl="1" w:tplc="0B4E10B8">
      <w:start w:val="1"/>
      <w:numFmt w:val="decimal"/>
      <w:lvlText w:val="%2."/>
      <w:lvlJc w:val="right"/>
      <w:pPr>
        <w:ind w:left="1000" w:hanging="180"/>
      </w:pPr>
    </w:lvl>
    <w:lvl w:ilvl="2" w:tplc="A3FA551E">
      <w:start w:val="1"/>
      <w:numFmt w:val="decimal"/>
      <w:lvlText w:val="%3."/>
      <w:lvlJc w:val="right"/>
      <w:pPr>
        <w:ind w:left="1500" w:hanging="180"/>
      </w:pPr>
    </w:lvl>
    <w:lvl w:ilvl="3" w:tplc="F2E6070A">
      <w:start w:val="1"/>
      <w:numFmt w:val="decimal"/>
      <w:lvlText w:val="%4."/>
      <w:lvlJc w:val="right"/>
      <w:pPr>
        <w:ind w:left="2000" w:hanging="180"/>
      </w:pPr>
    </w:lvl>
    <w:lvl w:ilvl="4" w:tplc="5782A938">
      <w:start w:val="1"/>
      <w:numFmt w:val="decimal"/>
      <w:lvlText w:val="%5."/>
      <w:lvlJc w:val="right"/>
      <w:pPr>
        <w:ind w:left="2500" w:hanging="180"/>
      </w:pPr>
    </w:lvl>
    <w:lvl w:ilvl="5" w:tplc="38BE2318">
      <w:start w:val="1"/>
      <w:numFmt w:val="decimal"/>
      <w:lvlText w:val="%6."/>
      <w:lvlJc w:val="right"/>
      <w:pPr>
        <w:ind w:left="3000" w:hanging="180"/>
      </w:pPr>
    </w:lvl>
    <w:lvl w:ilvl="6" w:tplc="C1F682AE">
      <w:start w:val="1"/>
      <w:numFmt w:val="decimal"/>
      <w:lvlText w:val="%7."/>
      <w:lvlJc w:val="right"/>
      <w:pPr>
        <w:ind w:left="3500" w:hanging="180"/>
      </w:pPr>
    </w:lvl>
    <w:lvl w:ilvl="7" w:tplc="D3F88F56">
      <w:start w:val="1"/>
      <w:numFmt w:val="decimal"/>
      <w:lvlText w:val="%8."/>
      <w:lvlJc w:val="right"/>
      <w:pPr>
        <w:ind w:left="4000" w:hanging="180"/>
      </w:pPr>
    </w:lvl>
    <w:lvl w:ilvl="8" w:tplc="629EBEE8">
      <w:start w:val="1"/>
      <w:numFmt w:val="decimal"/>
      <w:lvlText w:val="%9."/>
      <w:lvlJc w:val="right"/>
      <w:pPr>
        <w:ind w:left="4500" w:hanging="180"/>
      </w:pPr>
    </w:lvl>
  </w:abstractNum>
  <w:abstractNum w:abstractNumId="29" w15:restartNumberingAfterBreak="0">
    <w:nsid w:val="2761783A"/>
    <w:multiLevelType w:val="hybridMultilevel"/>
    <w:tmpl w:val="406E0D2A"/>
    <w:name w:val="CPSNumberingScheme"/>
    <w:lvl w:ilvl="0" w:tplc="50B82FCA">
      <w:start w:val="1"/>
      <w:numFmt w:val="decimal"/>
      <w:lvlText w:val="%1."/>
      <w:lvlJc w:val="right"/>
      <w:pPr>
        <w:ind w:left="500" w:hanging="180"/>
      </w:pPr>
    </w:lvl>
    <w:lvl w:ilvl="1" w:tplc="DA184D62">
      <w:start w:val="1"/>
      <w:numFmt w:val="decimal"/>
      <w:lvlText w:val="%2."/>
      <w:lvlJc w:val="right"/>
      <w:pPr>
        <w:ind w:left="1000" w:hanging="180"/>
      </w:pPr>
    </w:lvl>
    <w:lvl w:ilvl="2" w:tplc="0B6A5910">
      <w:start w:val="1"/>
      <w:numFmt w:val="decimal"/>
      <w:lvlText w:val="%3."/>
      <w:lvlJc w:val="right"/>
      <w:pPr>
        <w:ind w:left="1500" w:hanging="180"/>
      </w:pPr>
    </w:lvl>
    <w:lvl w:ilvl="3" w:tplc="2BEC8136">
      <w:start w:val="1"/>
      <w:numFmt w:val="decimal"/>
      <w:lvlText w:val="%4."/>
      <w:lvlJc w:val="right"/>
      <w:pPr>
        <w:ind w:left="2000" w:hanging="180"/>
      </w:pPr>
    </w:lvl>
    <w:lvl w:ilvl="4" w:tplc="5D202466">
      <w:start w:val="1"/>
      <w:numFmt w:val="decimal"/>
      <w:lvlText w:val="%5."/>
      <w:lvlJc w:val="right"/>
      <w:pPr>
        <w:ind w:left="2500" w:hanging="180"/>
      </w:pPr>
    </w:lvl>
    <w:lvl w:ilvl="5" w:tplc="B7804E88">
      <w:start w:val="1"/>
      <w:numFmt w:val="decimal"/>
      <w:lvlText w:val="%6."/>
      <w:lvlJc w:val="right"/>
      <w:pPr>
        <w:ind w:left="3000" w:hanging="180"/>
      </w:pPr>
    </w:lvl>
    <w:lvl w:ilvl="6" w:tplc="16B8F90E">
      <w:start w:val="1"/>
      <w:numFmt w:val="decimal"/>
      <w:lvlText w:val="%7."/>
      <w:lvlJc w:val="right"/>
      <w:pPr>
        <w:ind w:left="3500" w:hanging="180"/>
      </w:pPr>
    </w:lvl>
    <w:lvl w:ilvl="7" w:tplc="2C8A21F0">
      <w:start w:val="1"/>
      <w:numFmt w:val="decimal"/>
      <w:lvlText w:val="%8."/>
      <w:lvlJc w:val="right"/>
      <w:pPr>
        <w:ind w:left="4000" w:hanging="180"/>
      </w:pPr>
    </w:lvl>
    <w:lvl w:ilvl="8" w:tplc="3EAC9858">
      <w:start w:val="1"/>
      <w:numFmt w:val="decimal"/>
      <w:lvlText w:val="%9."/>
      <w:lvlJc w:val="right"/>
      <w:pPr>
        <w:ind w:left="4500" w:hanging="180"/>
      </w:pPr>
    </w:lvl>
  </w:abstractNum>
  <w:abstractNum w:abstractNumId="30" w15:restartNumberingAfterBreak="0">
    <w:nsid w:val="286A2D5D"/>
    <w:multiLevelType w:val="hybridMultilevel"/>
    <w:tmpl w:val="E7820626"/>
    <w:name w:val="CPSNumberingScheme"/>
    <w:lvl w:ilvl="0" w:tplc="2D08F0EC">
      <w:start w:val="1"/>
      <w:numFmt w:val="decimal"/>
      <w:lvlText w:val="%1."/>
      <w:lvlJc w:val="right"/>
      <w:pPr>
        <w:ind w:left="500" w:hanging="180"/>
      </w:pPr>
    </w:lvl>
    <w:lvl w:ilvl="1" w:tplc="3F727706">
      <w:start w:val="1"/>
      <w:numFmt w:val="decimal"/>
      <w:lvlText w:val="%2."/>
      <w:lvlJc w:val="right"/>
      <w:pPr>
        <w:ind w:left="1000" w:hanging="180"/>
      </w:pPr>
    </w:lvl>
    <w:lvl w:ilvl="2" w:tplc="89D2C120">
      <w:start w:val="1"/>
      <w:numFmt w:val="decimal"/>
      <w:lvlText w:val="%3."/>
      <w:lvlJc w:val="right"/>
      <w:pPr>
        <w:ind w:left="1500" w:hanging="180"/>
      </w:pPr>
    </w:lvl>
    <w:lvl w:ilvl="3" w:tplc="93BE8F1C">
      <w:start w:val="1"/>
      <w:numFmt w:val="decimal"/>
      <w:lvlText w:val="%4."/>
      <w:lvlJc w:val="right"/>
      <w:pPr>
        <w:ind w:left="2000" w:hanging="180"/>
      </w:pPr>
    </w:lvl>
    <w:lvl w:ilvl="4" w:tplc="994804D6">
      <w:start w:val="1"/>
      <w:numFmt w:val="decimal"/>
      <w:lvlText w:val="%5."/>
      <w:lvlJc w:val="right"/>
      <w:pPr>
        <w:ind w:left="2500" w:hanging="180"/>
      </w:pPr>
    </w:lvl>
    <w:lvl w:ilvl="5" w:tplc="E26C0BB6">
      <w:start w:val="1"/>
      <w:numFmt w:val="decimal"/>
      <w:lvlText w:val="%6."/>
      <w:lvlJc w:val="right"/>
      <w:pPr>
        <w:ind w:left="3000" w:hanging="180"/>
      </w:pPr>
    </w:lvl>
    <w:lvl w:ilvl="6" w:tplc="BD96A84A">
      <w:start w:val="1"/>
      <w:numFmt w:val="decimal"/>
      <w:lvlText w:val="%7."/>
      <w:lvlJc w:val="right"/>
      <w:pPr>
        <w:ind w:left="3500" w:hanging="180"/>
      </w:pPr>
    </w:lvl>
    <w:lvl w:ilvl="7" w:tplc="B5D2B142">
      <w:start w:val="1"/>
      <w:numFmt w:val="decimal"/>
      <w:lvlText w:val="%8."/>
      <w:lvlJc w:val="right"/>
      <w:pPr>
        <w:ind w:left="4000" w:hanging="180"/>
      </w:pPr>
    </w:lvl>
    <w:lvl w:ilvl="8" w:tplc="AD96EC2E">
      <w:start w:val="1"/>
      <w:numFmt w:val="decimal"/>
      <w:lvlText w:val="%9."/>
      <w:lvlJc w:val="right"/>
      <w:pPr>
        <w:ind w:left="4500" w:hanging="180"/>
      </w:pPr>
    </w:lvl>
  </w:abstractNum>
  <w:abstractNum w:abstractNumId="31" w15:restartNumberingAfterBreak="0">
    <w:nsid w:val="2AA40D4A"/>
    <w:multiLevelType w:val="hybridMultilevel"/>
    <w:tmpl w:val="0E4CC9DA"/>
    <w:name w:val="CPSNumberingScheme"/>
    <w:lvl w:ilvl="0" w:tplc="2C2842BC">
      <w:start w:val="1"/>
      <w:numFmt w:val="decimal"/>
      <w:lvlText w:val="%1."/>
      <w:lvlJc w:val="right"/>
      <w:pPr>
        <w:ind w:left="500" w:hanging="180"/>
      </w:pPr>
    </w:lvl>
    <w:lvl w:ilvl="1" w:tplc="9E06D8FE">
      <w:start w:val="1"/>
      <w:numFmt w:val="decimal"/>
      <w:lvlText w:val="%2."/>
      <w:lvlJc w:val="right"/>
      <w:pPr>
        <w:ind w:left="1000" w:hanging="180"/>
      </w:pPr>
    </w:lvl>
    <w:lvl w:ilvl="2" w:tplc="35660BFA">
      <w:start w:val="1"/>
      <w:numFmt w:val="decimal"/>
      <w:lvlText w:val="%3."/>
      <w:lvlJc w:val="right"/>
      <w:pPr>
        <w:ind w:left="1500" w:hanging="180"/>
      </w:pPr>
    </w:lvl>
    <w:lvl w:ilvl="3" w:tplc="C8367782">
      <w:start w:val="1"/>
      <w:numFmt w:val="decimal"/>
      <w:lvlText w:val="%4."/>
      <w:lvlJc w:val="right"/>
      <w:pPr>
        <w:ind w:left="2000" w:hanging="180"/>
      </w:pPr>
    </w:lvl>
    <w:lvl w:ilvl="4" w:tplc="3834B4B8">
      <w:start w:val="1"/>
      <w:numFmt w:val="decimal"/>
      <w:lvlText w:val="%5."/>
      <w:lvlJc w:val="right"/>
      <w:pPr>
        <w:ind w:left="2500" w:hanging="180"/>
      </w:pPr>
    </w:lvl>
    <w:lvl w:ilvl="5" w:tplc="A47479FC">
      <w:start w:val="1"/>
      <w:numFmt w:val="decimal"/>
      <w:lvlText w:val="%6."/>
      <w:lvlJc w:val="right"/>
      <w:pPr>
        <w:ind w:left="3000" w:hanging="180"/>
      </w:pPr>
    </w:lvl>
    <w:lvl w:ilvl="6" w:tplc="36A81D06">
      <w:start w:val="1"/>
      <w:numFmt w:val="decimal"/>
      <w:lvlText w:val="%7."/>
      <w:lvlJc w:val="right"/>
      <w:pPr>
        <w:ind w:left="3500" w:hanging="180"/>
      </w:pPr>
    </w:lvl>
    <w:lvl w:ilvl="7" w:tplc="E75EC316">
      <w:start w:val="1"/>
      <w:numFmt w:val="decimal"/>
      <w:lvlText w:val="%8."/>
      <w:lvlJc w:val="right"/>
      <w:pPr>
        <w:ind w:left="4000" w:hanging="180"/>
      </w:pPr>
    </w:lvl>
    <w:lvl w:ilvl="8" w:tplc="C452F5EC">
      <w:start w:val="1"/>
      <w:numFmt w:val="decimal"/>
      <w:lvlText w:val="%9."/>
      <w:lvlJc w:val="right"/>
      <w:pPr>
        <w:ind w:left="4500" w:hanging="180"/>
      </w:pPr>
    </w:lvl>
  </w:abstractNum>
  <w:abstractNum w:abstractNumId="32" w15:restartNumberingAfterBreak="0">
    <w:nsid w:val="2B3A1E48"/>
    <w:multiLevelType w:val="hybridMultilevel"/>
    <w:tmpl w:val="CE123B50"/>
    <w:name w:val="CPSNumberingScheme"/>
    <w:lvl w:ilvl="0" w:tplc="CDB42154">
      <w:start w:val="1"/>
      <w:numFmt w:val="decimal"/>
      <w:lvlText w:val="%1."/>
      <w:lvlJc w:val="right"/>
      <w:pPr>
        <w:ind w:left="500" w:hanging="180"/>
      </w:pPr>
    </w:lvl>
    <w:lvl w:ilvl="1" w:tplc="EA0A0770">
      <w:start w:val="1"/>
      <w:numFmt w:val="decimal"/>
      <w:lvlText w:val="%2."/>
      <w:lvlJc w:val="right"/>
      <w:pPr>
        <w:ind w:left="1000" w:hanging="180"/>
      </w:pPr>
    </w:lvl>
    <w:lvl w:ilvl="2" w:tplc="984E95E2">
      <w:start w:val="1"/>
      <w:numFmt w:val="decimal"/>
      <w:lvlText w:val="%3."/>
      <w:lvlJc w:val="right"/>
      <w:pPr>
        <w:ind w:left="1500" w:hanging="180"/>
      </w:pPr>
    </w:lvl>
    <w:lvl w:ilvl="3" w:tplc="83F49546">
      <w:start w:val="1"/>
      <w:numFmt w:val="decimal"/>
      <w:lvlText w:val="%4."/>
      <w:lvlJc w:val="right"/>
      <w:pPr>
        <w:ind w:left="2000" w:hanging="180"/>
      </w:pPr>
    </w:lvl>
    <w:lvl w:ilvl="4" w:tplc="2772AFE4">
      <w:start w:val="1"/>
      <w:numFmt w:val="decimal"/>
      <w:lvlText w:val="%5."/>
      <w:lvlJc w:val="right"/>
      <w:pPr>
        <w:ind w:left="2500" w:hanging="180"/>
      </w:pPr>
    </w:lvl>
    <w:lvl w:ilvl="5" w:tplc="33E661DC">
      <w:start w:val="1"/>
      <w:numFmt w:val="decimal"/>
      <w:lvlText w:val="%6."/>
      <w:lvlJc w:val="right"/>
      <w:pPr>
        <w:ind w:left="3000" w:hanging="180"/>
      </w:pPr>
    </w:lvl>
    <w:lvl w:ilvl="6" w:tplc="896C8604">
      <w:start w:val="1"/>
      <w:numFmt w:val="decimal"/>
      <w:lvlText w:val="%7."/>
      <w:lvlJc w:val="right"/>
      <w:pPr>
        <w:ind w:left="3500" w:hanging="180"/>
      </w:pPr>
    </w:lvl>
    <w:lvl w:ilvl="7" w:tplc="B374100A">
      <w:start w:val="1"/>
      <w:numFmt w:val="decimal"/>
      <w:lvlText w:val="%8."/>
      <w:lvlJc w:val="right"/>
      <w:pPr>
        <w:ind w:left="4000" w:hanging="180"/>
      </w:pPr>
    </w:lvl>
    <w:lvl w:ilvl="8" w:tplc="93D49BAE">
      <w:start w:val="1"/>
      <w:numFmt w:val="decimal"/>
      <w:lvlText w:val="%9."/>
      <w:lvlJc w:val="right"/>
      <w:pPr>
        <w:ind w:left="4500" w:hanging="180"/>
      </w:pPr>
    </w:lvl>
  </w:abstractNum>
  <w:abstractNum w:abstractNumId="33" w15:restartNumberingAfterBreak="0">
    <w:nsid w:val="2B4C2C27"/>
    <w:multiLevelType w:val="hybridMultilevel"/>
    <w:tmpl w:val="0CE87324"/>
    <w:name w:val="CPSNumberingScheme"/>
    <w:lvl w:ilvl="0" w:tplc="91CCCDA6">
      <w:start w:val="1"/>
      <w:numFmt w:val="decimal"/>
      <w:lvlText w:val="%1."/>
      <w:lvlJc w:val="right"/>
      <w:pPr>
        <w:ind w:left="500" w:hanging="180"/>
      </w:pPr>
    </w:lvl>
    <w:lvl w:ilvl="1" w:tplc="F3A83756">
      <w:start w:val="1"/>
      <w:numFmt w:val="decimal"/>
      <w:lvlText w:val="%2."/>
      <w:lvlJc w:val="right"/>
      <w:pPr>
        <w:ind w:left="1000" w:hanging="180"/>
      </w:pPr>
    </w:lvl>
    <w:lvl w:ilvl="2" w:tplc="54BE81C2">
      <w:start w:val="1"/>
      <w:numFmt w:val="decimal"/>
      <w:lvlText w:val="%3."/>
      <w:lvlJc w:val="right"/>
      <w:pPr>
        <w:ind w:left="1500" w:hanging="180"/>
      </w:pPr>
    </w:lvl>
    <w:lvl w:ilvl="3" w:tplc="95EC2D1A">
      <w:start w:val="1"/>
      <w:numFmt w:val="decimal"/>
      <w:lvlText w:val="%4."/>
      <w:lvlJc w:val="right"/>
      <w:pPr>
        <w:ind w:left="2000" w:hanging="180"/>
      </w:pPr>
    </w:lvl>
    <w:lvl w:ilvl="4" w:tplc="B5589E9C">
      <w:start w:val="1"/>
      <w:numFmt w:val="decimal"/>
      <w:lvlText w:val="%5."/>
      <w:lvlJc w:val="right"/>
      <w:pPr>
        <w:ind w:left="2500" w:hanging="180"/>
      </w:pPr>
    </w:lvl>
    <w:lvl w:ilvl="5" w:tplc="4AEA5170">
      <w:start w:val="1"/>
      <w:numFmt w:val="decimal"/>
      <w:lvlText w:val="%6."/>
      <w:lvlJc w:val="right"/>
      <w:pPr>
        <w:ind w:left="3000" w:hanging="180"/>
      </w:pPr>
    </w:lvl>
    <w:lvl w:ilvl="6" w:tplc="96049670">
      <w:start w:val="1"/>
      <w:numFmt w:val="decimal"/>
      <w:lvlText w:val="%7."/>
      <w:lvlJc w:val="right"/>
      <w:pPr>
        <w:ind w:left="3500" w:hanging="180"/>
      </w:pPr>
    </w:lvl>
    <w:lvl w:ilvl="7" w:tplc="C71653D0">
      <w:start w:val="1"/>
      <w:numFmt w:val="decimal"/>
      <w:lvlText w:val="%8."/>
      <w:lvlJc w:val="right"/>
      <w:pPr>
        <w:ind w:left="4000" w:hanging="180"/>
      </w:pPr>
    </w:lvl>
    <w:lvl w:ilvl="8" w:tplc="DE560BDC">
      <w:start w:val="1"/>
      <w:numFmt w:val="decimal"/>
      <w:lvlText w:val="%9."/>
      <w:lvlJc w:val="right"/>
      <w:pPr>
        <w:ind w:left="4500" w:hanging="180"/>
      </w:pPr>
    </w:lvl>
  </w:abstractNum>
  <w:abstractNum w:abstractNumId="34" w15:restartNumberingAfterBreak="0">
    <w:nsid w:val="2C131200"/>
    <w:multiLevelType w:val="hybridMultilevel"/>
    <w:tmpl w:val="925689F6"/>
    <w:name w:val="CPSNumberingScheme"/>
    <w:lvl w:ilvl="0" w:tplc="2550E25A">
      <w:start w:val="1"/>
      <w:numFmt w:val="decimal"/>
      <w:lvlText w:val="%1."/>
      <w:lvlJc w:val="right"/>
      <w:pPr>
        <w:ind w:left="500" w:hanging="180"/>
      </w:pPr>
    </w:lvl>
    <w:lvl w:ilvl="1" w:tplc="325C7892">
      <w:start w:val="1"/>
      <w:numFmt w:val="decimal"/>
      <w:lvlText w:val="%2."/>
      <w:lvlJc w:val="right"/>
      <w:pPr>
        <w:ind w:left="1000" w:hanging="180"/>
      </w:pPr>
    </w:lvl>
    <w:lvl w:ilvl="2" w:tplc="E0AEFFD4">
      <w:start w:val="1"/>
      <w:numFmt w:val="decimal"/>
      <w:lvlText w:val="%3."/>
      <w:lvlJc w:val="right"/>
      <w:pPr>
        <w:ind w:left="1500" w:hanging="180"/>
      </w:pPr>
    </w:lvl>
    <w:lvl w:ilvl="3" w:tplc="EB3CEF6C">
      <w:start w:val="1"/>
      <w:numFmt w:val="decimal"/>
      <w:lvlText w:val="%4."/>
      <w:lvlJc w:val="right"/>
      <w:pPr>
        <w:ind w:left="2000" w:hanging="180"/>
      </w:pPr>
    </w:lvl>
    <w:lvl w:ilvl="4" w:tplc="BD32DCC0">
      <w:start w:val="1"/>
      <w:numFmt w:val="decimal"/>
      <w:lvlText w:val="%5."/>
      <w:lvlJc w:val="right"/>
      <w:pPr>
        <w:ind w:left="2500" w:hanging="180"/>
      </w:pPr>
    </w:lvl>
    <w:lvl w:ilvl="5" w:tplc="322E9CF8">
      <w:start w:val="1"/>
      <w:numFmt w:val="decimal"/>
      <w:lvlText w:val="%6."/>
      <w:lvlJc w:val="right"/>
      <w:pPr>
        <w:ind w:left="3000" w:hanging="180"/>
      </w:pPr>
    </w:lvl>
    <w:lvl w:ilvl="6" w:tplc="635411FC">
      <w:start w:val="1"/>
      <w:numFmt w:val="decimal"/>
      <w:lvlText w:val="%7."/>
      <w:lvlJc w:val="right"/>
      <w:pPr>
        <w:ind w:left="3500" w:hanging="180"/>
      </w:pPr>
    </w:lvl>
    <w:lvl w:ilvl="7" w:tplc="6F7672B8">
      <w:start w:val="1"/>
      <w:numFmt w:val="decimal"/>
      <w:lvlText w:val="%8."/>
      <w:lvlJc w:val="right"/>
      <w:pPr>
        <w:ind w:left="4000" w:hanging="180"/>
      </w:pPr>
    </w:lvl>
    <w:lvl w:ilvl="8" w:tplc="7736B628">
      <w:start w:val="1"/>
      <w:numFmt w:val="decimal"/>
      <w:lvlText w:val="%9."/>
      <w:lvlJc w:val="right"/>
      <w:pPr>
        <w:ind w:left="4500" w:hanging="180"/>
      </w:pPr>
    </w:lvl>
  </w:abstractNum>
  <w:abstractNum w:abstractNumId="35" w15:restartNumberingAfterBreak="0">
    <w:nsid w:val="2CE57B47"/>
    <w:multiLevelType w:val="hybridMultilevel"/>
    <w:tmpl w:val="2A16DCF2"/>
    <w:name w:val="CPSNumberingScheme"/>
    <w:lvl w:ilvl="0" w:tplc="DE201C52">
      <w:start w:val="1"/>
      <w:numFmt w:val="decimal"/>
      <w:lvlText w:val="%1."/>
      <w:lvlJc w:val="right"/>
      <w:pPr>
        <w:ind w:left="500" w:hanging="180"/>
      </w:pPr>
    </w:lvl>
    <w:lvl w:ilvl="1" w:tplc="B8702964">
      <w:start w:val="1"/>
      <w:numFmt w:val="decimal"/>
      <w:lvlText w:val="%2."/>
      <w:lvlJc w:val="right"/>
      <w:pPr>
        <w:ind w:left="1000" w:hanging="180"/>
      </w:pPr>
    </w:lvl>
    <w:lvl w:ilvl="2" w:tplc="5546D96C">
      <w:start w:val="1"/>
      <w:numFmt w:val="decimal"/>
      <w:lvlText w:val="%3."/>
      <w:lvlJc w:val="right"/>
      <w:pPr>
        <w:ind w:left="1500" w:hanging="180"/>
      </w:pPr>
    </w:lvl>
    <w:lvl w:ilvl="3" w:tplc="C70A4D22">
      <w:start w:val="1"/>
      <w:numFmt w:val="decimal"/>
      <w:lvlText w:val="%4."/>
      <w:lvlJc w:val="right"/>
      <w:pPr>
        <w:ind w:left="2000" w:hanging="180"/>
      </w:pPr>
    </w:lvl>
    <w:lvl w:ilvl="4" w:tplc="A4F4A78E">
      <w:start w:val="1"/>
      <w:numFmt w:val="decimal"/>
      <w:lvlText w:val="%5."/>
      <w:lvlJc w:val="right"/>
      <w:pPr>
        <w:ind w:left="2500" w:hanging="180"/>
      </w:pPr>
    </w:lvl>
    <w:lvl w:ilvl="5" w:tplc="65E6AB5C">
      <w:start w:val="1"/>
      <w:numFmt w:val="decimal"/>
      <w:lvlText w:val="%6."/>
      <w:lvlJc w:val="right"/>
      <w:pPr>
        <w:ind w:left="3000" w:hanging="180"/>
      </w:pPr>
    </w:lvl>
    <w:lvl w:ilvl="6" w:tplc="72107232">
      <w:start w:val="1"/>
      <w:numFmt w:val="decimal"/>
      <w:lvlText w:val="%7."/>
      <w:lvlJc w:val="right"/>
      <w:pPr>
        <w:ind w:left="3500" w:hanging="180"/>
      </w:pPr>
    </w:lvl>
    <w:lvl w:ilvl="7" w:tplc="7CEE5AE4">
      <w:start w:val="1"/>
      <w:numFmt w:val="decimal"/>
      <w:lvlText w:val="%8."/>
      <w:lvlJc w:val="right"/>
      <w:pPr>
        <w:ind w:left="4000" w:hanging="180"/>
      </w:pPr>
    </w:lvl>
    <w:lvl w:ilvl="8" w:tplc="68E6CFA4">
      <w:start w:val="1"/>
      <w:numFmt w:val="decimal"/>
      <w:lvlText w:val="%9."/>
      <w:lvlJc w:val="right"/>
      <w:pPr>
        <w:ind w:left="4500" w:hanging="180"/>
      </w:pPr>
    </w:lvl>
  </w:abstractNum>
  <w:abstractNum w:abstractNumId="36" w15:restartNumberingAfterBreak="0">
    <w:nsid w:val="2CFF674E"/>
    <w:multiLevelType w:val="hybridMultilevel"/>
    <w:tmpl w:val="BCA80E26"/>
    <w:name w:val="CPSNumberingScheme"/>
    <w:lvl w:ilvl="0" w:tplc="14CAFC50">
      <w:start w:val="1"/>
      <w:numFmt w:val="decimal"/>
      <w:lvlText w:val="%1."/>
      <w:lvlJc w:val="right"/>
      <w:pPr>
        <w:ind w:left="500" w:hanging="180"/>
      </w:pPr>
    </w:lvl>
    <w:lvl w:ilvl="1" w:tplc="3FFAE580">
      <w:start w:val="1"/>
      <w:numFmt w:val="decimal"/>
      <w:lvlText w:val="%2."/>
      <w:lvlJc w:val="right"/>
      <w:pPr>
        <w:ind w:left="1000" w:hanging="180"/>
      </w:pPr>
    </w:lvl>
    <w:lvl w:ilvl="2" w:tplc="EA2C4F40">
      <w:start w:val="1"/>
      <w:numFmt w:val="decimal"/>
      <w:lvlText w:val="%3."/>
      <w:lvlJc w:val="right"/>
      <w:pPr>
        <w:ind w:left="1500" w:hanging="180"/>
      </w:pPr>
    </w:lvl>
    <w:lvl w:ilvl="3" w:tplc="CB6A1C90">
      <w:start w:val="1"/>
      <w:numFmt w:val="decimal"/>
      <w:lvlText w:val="%4."/>
      <w:lvlJc w:val="right"/>
      <w:pPr>
        <w:ind w:left="2000" w:hanging="180"/>
      </w:pPr>
    </w:lvl>
    <w:lvl w:ilvl="4" w:tplc="05A86E74">
      <w:start w:val="1"/>
      <w:numFmt w:val="decimal"/>
      <w:lvlText w:val="%5."/>
      <w:lvlJc w:val="right"/>
      <w:pPr>
        <w:ind w:left="2500" w:hanging="180"/>
      </w:pPr>
    </w:lvl>
    <w:lvl w:ilvl="5" w:tplc="E53CAFC2">
      <w:start w:val="1"/>
      <w:numFmt w:val="decimal"/>
      <w:lvlText w:val="%6."/>
      <w:lvlJc w:val="right"/>
      <w:pPr>
        <w:ind w:left="3000" w:hanging="180"/>
      </w:pPr>
    </w:lvl>
    <w:lvl w:ilvl="6" w:tplc="2CF6394C">
      <w:start w:val="1"/>
      <w:numFmt w:val="decimal"/>
      <w:lvlText w:val="%7."/>
      <w:lvlJc w:val="right"/>
      <w:pPr>
        <w:ind w:left="3500" w:hanging="180"/>
      </w:pPr>
    </w:lvl>
    <w:lvl w:ilvl="7" w:tplc="869C7E6A">
      <w:start w:val="1"/>
      <w:numFmt w:val="decimal"/>
      <w:lvlText w:val="%8."/>
      <w:lvlJc w:val="right"/>
      <w:pPr>
        <w:ind w:left="4000" w:hanging="180"/>
      </w:pPr>
    </w:lvl>
    <w:lvl w:ilvl="8" w:tplc="43D83D6E">
      <w:start w:val="1"/>
      <w:numFmt w:val="decimal"/>
      <w:lvlText w:val="%9."/>
      <w:lvlJc w:val="right"/>
      <w:pPr>
        <w:ind w:left="4500" w:hanging="180"/>
      </w:pPr>
    </w:lvl>
  </w:abstractNum>
  <w:abstractNum w:abstractNumId="37" w15:restartNumberingAfterBreak="0">
    <w:nsid w:val="2F6D1B2C"/>
    <w:multiLevelType w:val="hybridMultilevel"/>
    <w:tmpl w:val="542EBE68"/>
    <w:name w:val="CPSNumberingScheme"/>
    <w:lvl w:ilvl="0" w:tplc="1D58064C">
      <w:start w:val="1"/>
      <w:numFmt w:val="decimal"/>
      <w:lvlText w:val="%1."/>
      <w:lvlJc w:val="right"/>
      <w:pPr>
        <w:ind w:left="500" w:hanging="180"/>
      </w:pPr>
    </w:lvl>
    <w:lvl w:ilvl="1" w:tplc="E58A9652">
      <w:start w:val="1"/>
      <w:numFmt w:val="decimal"/>
      <w:lvlText w:val="%2."/>
      <w:lvlJc w:val="right"/>
      <w:pPr>
        <w:ind w:left="1000" w:hanging="180"/>
      </w:pPr>
    </w:lvl>
    <w:lvl w:ilvl="2" w:tplc="52F4E0D0">
      <w:start w:val="1"/>
      <w:numFmt w:val="decimal"/>
      <w:lvlText w:val="%3."/>
      <w:lvlJc w:val="right"/>
      <w:pPr>
        <w:ind w:left="1500" w:hanging="180"/>
      </w:pPr>
    </w:lvl>
    <w:lvl w:ilvl="3" w:tplc="422051CE">
      <w:start w:val="1"/>
      <w:numFmt w:val="decimal"/>
      <w:lvlText w:val="%4."/>
      <w:lvlJc w:val="right"/>
      <w:pPr>
        <w:ind w:left="2000" w:hanging="180"/>
      </w:pPr>
    </w:lvl>
    <w:lvl w:ilvl="4" w:tplc="9F888EBA">
      <w:start w:val="1"/>
      <w:numFmt w:val="decimal"/>
      <w:lvlText w:val="%5."/>
      <w:lvlJc w:val="right"/>
      <w:pPr>
        <w:ind w:left="2500" w:hanging="180"/>
      </w:pPr>
    </w:lvl>
    <w:lvl w:ilvl="5" w:tplc="E4A89930">
      <w:start w:val="1"/>
      <w:numFmt w:val="decimal"/>
      <w:lvlText w:val="%6."/>
      <w:lvlJc w:val="right"/>
      <w:pPr>
        <w:ind w:left="3000" w:hanging="180"/>
      </w:pPr>
    </w:lvl>
    <w:lvl w:ilvl="6" w:tplc="52A043D2">
      <w:start w:val="1"/>
      <w:numFmt w:val="decimal"/>
      <w:lvlText w:val="%7."/>
      <w:lvlJc w:val="right"/>
      <w:pPr>
        <w:ind w:left="3500" w:hanging="180"/>
      </w:pPr>
    </w:lvl>
    <w:lvl w:ilvl="7" w:tplc="4F6AEDE0">
      <w:start w:val="1"/>
      <w:numFmt w:val="decimal"/>
      <w:lvlText w:val="%8."/>
      <w:lvlJc w:val="right"/>
      <w:pPr>
        <w:ind w:left="4000" w:hanging="180"/>
      </w:pPr>
    </w:lvl>
    <w:lvl w:ilvl="8" w:tplc="56569A2A">
      <w:start w:val="1"/>
      <w:numFmt w:val="decimal"/>
      <w:lvlText w:val="%9."/>
      <w:lvlJc w:val="right"/>
      <w:pPr>
        <w:ind w:left="4500" w:hanging="180"/>
      </w:pPr>
    </w:lvl>
  </w:abstractNum>
  <w:abstractNum w:abstractNumId="38" w15:restartNumberingAfterBreak="0">
    <w:nsid w:val="307E1277"/>
    <w:multiLevelType w:val="hybridMultilevel"/>
    <w:tmpl w:val="42400E44"/>
    <w:name w:val="CPSNumberingScheme"/>
    <w:lvl w:ilvl="0" w:tplc="841A631A">
      <w:start w:val="1"/>
      <w:numFmt w:val="decimal"/>
      <w:lvlText w:val="%1."/>
      <w:lvlJc w:val="right"/>
      <w:pPr>
        <w:ind w:left="500" w:hanging="180"/>
      </w:pPr>
    </w:lvl>
    <w:lvl w:ilvl="1" w:tplc="4E465632">
      <w:start w:val="1"/>
      <w:numFmt w:val="decimal"/>
      <w:lvlText w:val="%2."/>
      <w:lvlJc w:val="right"/>
      <w:pPr>
        <w:ind w:left="1000" w:hanging="180"/>
      </w:pPr>
    </w:lvl>
    <w:lvl w:ilvl="2" w:tplc="1ADA7A40">
      <w:start w:val="1"/>
      <w:numFmt w:val="decimal"/>
      <w:lvlText w:val="%3."/>
      <w:lvlJc w:val="right"/>
      <w:pPr>
        <w:ind w:left="1500" w:hanging="180"/>
      </w:pPr>
    </w:lvl>
    <w:lvl w:ilvl="3" w:tplc="5DF04DEA">
      <w:start w:val="1"/>
      <w:numFmt w:val="decimal"/>
      <w:lvlText w:val="%4."/>
      <w:lvlJc w:val="right"/>
      <w:pPr>
        <w:ind w:left="2000" w:hanging="180"/>
      </w:pPr>
    </w:lvl>
    <w:lvl w:ilvl="4" w:tplc="920C8000">
      <w:start w:val="1"/>
      <w:numFmt w:val="decimal"/>
      <w:lvlText w:val="%5."/>
      <w:lvlJc w:val="right"/>
      <w:pPr>
        <w:ind w:left="2500" w:hanging="180"/>
      </w:pPr>
    </w:lvl>
    <w:lvl w:ilvl="5" w:tplc="FB20A8CE">
      <w:start w:val="1"/>
      <w:numFmt w:val="decimal"/>
      <w:lvlText w:val="%6."/>
      <w:lvlJc w:val="right"/>
      <w:pPr>
        <w:ind w:left="3000" w:hanging="180"/>
      </w:pPr>
    </w:lvl>
    <w:lvl w:ilvl="6" w:tplc="990E45D8">
      <w:start w:val="1"/>
      <w:numFmt w:val="decimal"/>
      <w:lvlText w:val="%7."/>
      <w:lvlJc w:val="right"/>
      <w:pPr>
        <w:ind w:left="3500" w:hanging="180"/>
      </w:pPr>
    </w:lvl>
    <w:lvl w:ilvl="7" w:tplc="F476D758">
      <w:start w:val="1"/>
      <w:numFmt w:val="decimal"/>
      <w:lvlText w:val="%8."/>
      <w:lvlJc w:val="right"/>
      <w:pPr>
        <w:ind w:left="4000" w:hanging="180"/>
      </w:pPr>
    </w:lvl>
    <w:lvl w:ilvl="8" w:tplc="CDB4219E">
      <w:start w:val="1"/>
      <w:numFmt w:val="decimal"/>
      <w:lvlText w:val="%9."/>
      <w:lvlJc w:val="right"/>
      <w:pPr>
        <w:ind w:left="4500" w:hanging="180"/>
      </w:pPr>
    </w:lvl>
  </w:abstractNum>
  <w:abstractNum w:abstractNumId="39" w15:restartNumberingAfterBreak="0">
    <w:nsid w:val="31293045"/>
    <w:multiLevelType w:val="hybridMultilevel"/>
    <w:tmpl w:val="238E54BE"/>
    <w:name w:val="CPSNumberingScheme"/>
    <w:lvl w:ilvl="0" w:tplc="94C4CEDE">
      <w:start w:val="1"/>
      <w:numFmt w:val="decimal"/>
      <w:lvlText w:val="%1."/>
      <w:lvlJc w:val="right"/>
      <w:pPr>
        <w:ind w:left="500" w:hanging="180"/>
      </w:pPr>
    </w:lvl>
    <w:lvl w:ilvl="1" w:tplc="C230273C">
      <w:start w:val="1"/>
      <w:numFmt w:val="decimal"/>
      <w:lvlText w:val="%2."/>
      <w:lvlJc w:val="right"/>
      <w:pPr>
        <w:ind w:left="1000" w:hanging="180"/>
      </w:pPr>
    </w:lvl>
    <w:lvl w:ilvl="2" w:tplc="79367F74">
      <w:start w:val="1"/>
      <w:numFmt w:val="decimal"/>
      <w:lvlText w:val="%3."/>
      <w:lvlJc w:val="right"/>
      <w:pPr>
        <w:ind w:left="1500" w:hanging="180"/>
      </w:pPr>
    </w:lvl>
    <w:lvl w:ilvl="3" w:tplc="E8D4CF18">
      <w:start w:val="1"/>
      <w:numFmt w:val="decimal"/>
      <w:lvlText w:val="%4."/>
      <w:lvlJc w:val="right"/>
      <w:pPr>
        <w:ind w:left="2000" w:hanging="180"/>
      </w:pPr>
    </w:lvl>
    <w:lvl w:ilvl="4" w:tplc="774AE30E">
      <w:start w:val="1"/>
      <w:numFmt w:val="decimal"/>
      <w:lvlText w:val="%5."/>
      <w:lvlJc w:val="right"/>
      <w:pPr>
        <w:ind w:left="2500" w:hanging="180"/>
      </w:pPr>
    </w:lvl>
    <w:lvl w:ilvl="5" w:tplc="3926D478">
      <w:start w:val="1"/>
      <w:numFmt w:val="decimal"/>
      <w:lvlText w:val="%6."/>
      <w:lvlJc w:val="right"/>
      <w:pPr>
        <w:ind w:left="3000" w:hanging="180"/>
      </w:pPr>
    </w:lvl>
    <w:lvl w:ilvl="6" w:tplc="897A7914">
      <w:start w:val="1"/>
      <w:numFmt w:val="decimal"/>
      <w:lvlText w:val="%7."/>
      <w:lvlJc w:val="right"/>
      <w:pPr>
        <w:ind w:left="3500" w:hanging="180"/>
      </w:pPr>
    </w:lvl>
    <w:lvl w:ilvl="7" w:tplc="609A8A78">
      <w:start w:val="1"/>
      <w:numFmt w:val="decimal"/>
      <w:lvlText w:val="%8."/>
      <w:lvlJc w:val="right"/>
      <w:pPr>
        <w:ind w:left="4000" w:hanging="180"/>
      </w:pPr>
    </w:lvl>
    <w:lvl w:ilvl="8" w:tplc="B07624E4">
      <w:start w:val="1"/>
      <w:numFmt w:val="decimal"/>
      <w:lvlText w:val="%9."/>
      <w:lvlJc w:val="right"/>
      <w:pPr>
        <w:ind w:left="4500" w:hanging="180"/>
      </w:pPr>
    </w:lvl>
  </w:abstractNum>
  <w:abstractNum w:abstractNumId="40" w15:restartNumberingAfterBreak="0">
    <w:nsid w:val="33B15D4E"/>
    <w:multiLevelType w:val="hybridMultilevel"/>
    <w:tmpl w:val="84A05A3C"/>
    <w:name w:val="CPSNumberingScheme"/>
    <w:lvl w:ilvl="0" w:tplc="457AE830">
      <w:start w:val="1"/>
      <w:numFmt w:val="decimal"/>
      <w:lvlText w:val="%1."/>
      <w:lvlJc w:val="right"/>
      <w:pPr>
        <w:ind w:left="500" w:hanging="180"/>
      </w:pPr>
    </w:lvl>
    <w:lvl w:ilvl="1" w:tplc="F5AC72AE">
      <w:start w:val="1"/>
      <w:numFmt w:val="decimal"/>
      <w:lvlText w:val="%2."/>
      <w:lvlJc w:val="right"/>
      <w:pPr>
        <w:ind w:left="1000" w:hanging="180"/>
      </w:pPr>
    </w:lvl>
    <w:lvl w:ilvl="2" w:tplc="E0DCF72C">
      <w:start w:val="1"/>
      <w:numFmt w:val="decimal"/>
      <w:lvlText w:val="%3."/>
      <w:lvlJc w:val="right"/>
      <w:pPr>
        <w:ind w:left="1500" w:hanging="180"/>
      </w:pPr>
    </w:lvl>
    <w:lvl w:ilvl="3" w:tplc="E4BCA9E8">
      <w:start w:val="1"/>
      <w:numFmt w:val="decimal"/>
      <w:lvlText w:val="%4."/>
      <w:lvlJc w:val="right"/>
      <w:pPr>
        <w:ind w:left="2000" w:hanging="180"/>
      </w:pPr>
    </w:lvl>
    <w:lvl w:ilvl="4" w:tplc="C7FED7E2">
      <w:start w:val="1"/>
      <w:numFmt w:val="decimal"/>
      <w:lvlText w:val="%5."/>
      <w:lvlJc w:val="right"/>
      <w:pPr>
        <w:ind w:left="2500" w:hanging="180"/>
      </w:pPr>
    </w:lvl>
    <w:lvl w:ilvl="5" w:tplc="780A7372">
      <w:start w:val="1"/>
      <w:numFmt w:val="decimal"/>
      <w:lvlText w:val="%6."/>
      <w:lvlJc w:val="right"/>
      <w:pPr>
        <w:ind w:left="3000" w:hanging="180"/>
      </w:pPr>
    </w:lvl>
    <w:lvl w:ilvl="6" w:tplc="63DEA3DE">
      <w:start w:val="1"/>
      <w:numFmt w:val="decimal"/>
      <w:lvlText w:val="%7."/>
      <w:lvlJc w:val="right"/>
      <w:pPr>
        <w:ind w:left="3500" w:hanging="180"/>
      </w:pPr>
    </w:lvl>
    <w:lvl w:ilvl="7" w:tplc="2A487378">
      <w:start w:val="1"/>
      <w:numFmt w:val="decimal"/>
      <w:lvlText w:val="%8."/>
      <w:lvlJc w:val="right"/>
      <w:pPr>
        <w:ind w:left="4000" w:hanging="180"/>
      </w:pPr>
    </w:lvl>
    <w:lvl w:ilvl="8" w:tplc="1D244A6C">
      <w:start w:val="1"/>
      <w:numFmt w:val="decimal"/>
      <w:lvlText w:val="%9."/>
      <w:lvlJc w:val="right"/>
      <w:pPr>
        <w:ind w:left="4500" w:hanging="180"/>
      </w:pPr>
    </w:lvl>
  </w:abstractNum>
  <w:abstractNum w:abstractNumId="41" w15:restartNumberingAfterBreak="0">
    <w:nsid w:val="35496992"/>
    <w:multiLevelType w:val="hybridMultilevel"/>
    <w:tmpl w:val="8BCCBD8A"/>
    <w:name w:val="CPSNumberingScheme"/>
    <w:lvl w:ilvl="0" w:tplc="F8684F6C">
      <w:start w:val="1"/>
      <w:numFmt w:val="decimal"/>
      <w:lvlText w:val="%1."/>
      <w:lvlJc w:val="right"/>
      <w:pPr>
        <w:ind w:left="500" w:hanging="180"/>
      </w:pPr>
    </w:lvl>
    <w:lvl w:ilvl="1" w:tplc="777421B0">
      <w:start w:val="1"/>
      <w:numFmt w:val="decimal"/>
      <w:lvlText w:val="%2."/>
      <w:lvlJc w:val="right"/>
      <w:pPr>
        <w:ind w:left="1000" w:hanging="180"/>
      </w:pPr>
    </w:lvl>
    <w:lvl w:ilvl="2" w:tplc="D4A41DB4">
      <w:start w:val="1"/>
      <w:numFmt w:val="decimal"/>
      <w:lvlText w:val="%3."/>
      <w:lvlJc w:val="right"/>
      <w:pPr>
        <w:ind w:left="1500" w:hanging="180"/>
      </w:pPr>
    </w:lvl>
    <w:lvl w:ilvl="3" w:tplc="D5A4747C">
      <w:start w:val="1"/>
      <w:numFmt w:val="decimal"/>
      <w:lvlText w:val="%4."/>
      <w:lvlJc w:val="right"/>
      <w:pPr>
        <w:ind w:left="2000" w:hanging="180"/>
      </w:pPr>
    </w:lvl>
    <w:lvl w:ilvl="4" w:tplc="29C275DC">
      <w:start w:val="1"/>
      <w:numFmt w:val="decimal"/>
      <w:lvlText w:val="%5."/>
      <w:lvlJc w:val="right"/>
      <w:pPr>
        <w:ind w:left="2500" w:hanging="180"/>
      </w:pPr>
    </w:lvl>
    <w:lvl w:ilvl="5" w:tplc="DABE485C">
      <w:start w:val="1"/>
      <w:numFmt w:val="decimal"/>
      <w:lvlText w:val="%6."/>
      <w:lvlJc w:val="right"/>
      <w:pPr>
        <w:ind w:left="3000" w:hanging="180"/>
      </w:pPr>
    </w:lvl>
    <w:lvl w:ilvl="6" w:tplc="43F6BAB4">
      <w:start w:val="1"/>
      <w:numFmt w:val="decimal"/>
      <w:lvlText w:val="%7."/>
      <w:lvlJc w:val="right"/>
      <w:pPr>
        <w:ind w:left="3500" w:hanging="180"/>
      </w:pPr>
    </w:lvl>
    <w:lvl w:ilvl="7" w:tplc="42C037B0">
      <w:start w:val="1"/>
      <w:numFmt w:val="decimal"/>
      <w:lvlText w:val="%8."/>
      <w:lvlJc w:val="right"/>
      <w:pPr>
        <w:ind w:left="4000" w:hanging="180"/>
      </w:pPr>
    </w:lvl>
    <w:lvl w:ilvl="8" w:tplc="CD9682D4">
      <w:start w:val="1"/>
      <w:numFmt w:val="decimal"/>
      <w:lvlText w:val="%9."/>
      <w:lvlJc w:val="right"/>
      <w:pPr>
        <w:ind w:left="4500" w:hanging="180"/>
      </w:pPr>
    </w:lvl>
  </w:abstractNum>
  <w:abstractNum w:abstractNumId="42" w15:restartNumberingAfterBreak="0">
    <w:nsid w:val="357463CB"/>
    <w:multiLevelType w:val="hybridMultilevel"/>
    <w:tmpl w:val="7B0CEFF6"/>
    <w:name w:val="CPSNumberingScheme"/>
    <w:lvl w:ilvl="0" w:tplc="55446718">
      <w:start w:val="1"/>
      <w:numFmt w:val="decimal"/>
      <w:lvlText w:val="%1."/>
      <w:lvlJc w:val="right"/>
      <w:pPr>
        <w:ind w:left="500" w:hanging="180"/>
      </w:pPr>
    </w:lvl>
    <w:lvl w:ilvl="1" w:tplc="70EECB00">
      <w:start w:val="1"/>
      <w:numFmt w:val="decimal"/>
      <w:lvlText w:val="%2."/>
      <w:lvlJc w:val="right"/>
      <w:pPr>
        <w:ind w:left="1000" w:hanging="180"/>
      </w:pPr>
    </w:lvl>
    <w:lvl w:ilvl="2" w:tplc="7B863E5C">
      <w:start w:val="1"/>
      <w:numFmt w:val="decimal"/>
      <w:lvlText w:val="%3."/>
      <w:lvlJc w:val="right"/>
      <w:pPr>
        <w:ind w:left="1500" w:hanging="180"/>
      </w:pPr>
    </w:lvl>
    <w:lvl w:ilvl="3" w:tplc="CFE8AC2A">
      <w:start w:val="1"/>
      <w:numFmt w:val="decimal"/>
      <w:lvlText w:val="%4."/>
      <w:lvlJc w:val="right"/>
      <w:pPr>
        <w:ind w:left="2000" w:hanging="180"/>
      </w:pPr>
    </w:lvl>
    <w:lvl w:ilvl="4" w:tplc="31DE595E">
      <w:start w:val="1"/>
      <w:numFmt w:val="decimal"/>
      <w:lvlText w:val="%5."/>
      <w:lvlJc w:val="right"/>
      <w:pPr>
        <w:ind w:left="2500" w:hanging="180"/>
      </w:pPr>
    </w:lvl>
    <w:lvl w:ilvl="5" w:tplc="D52EE178">
      <w:start w:val="1"/>
      <w:numFmt w:val="decimal"/>
      <w:lvlText w:val="%6."/>
      <w:lvlJc w:val="right"/>
      <w:pPr>
        <w:ind w:left="3000" w:hanging="180"/>
      </w:pPr>
    </w:lvl>
    <w:lvl w:ilvl="6" w:tplc="4F5E2874">
      <w:start w:val="1"/>
      <w:numFmt w:val="decimal"/>
      <w:lvlText w:val="%7."/>
      <w:lvlJc w:val="right"/>
      <w:pPr>
        <w:ind w:left="3500" w:hanging="180"/>
      </w:pPr>
    </w:lvl>
    <w:lvl w:ilvl="7" w:tplc="4DE01B8A">
      <w:start w:val="1"/>
      <w:numFmt w:val="decimal"/>
      <w:lvlText w:val="%8."/>
      <w:lvlJc w:val="right"/>
      <w:pPr>
        <w:ind w:left="4000" w:hanging="180"/>
      </w:pPr>
    </w:lvl>
    <w:lvl w:ilvl="8" w:tplc="BECAECFE">
      <w:start w:val="1"/>
      <w:numFmt w:val="decimal"/>
      <w:lvlText w:val="%9."/>
      <w:lvlJc w:val="right"/>
      <w:pPr>
        <w:ind w:left="4500" w:hanging="180"/>
      </w:pPr>
    </w:lvl>
  </w:abstractNum>
  <w:abstractNum w:abstractNumId="43" w15:restartNumberingAfterBreak="0">
    <w:nsid w:val="377F45FA"/>
    <w:multiLevelType w:val="hybridMultilevel"/>
    <w:tmpl w:val="AEC0AF74"/>
    <w:name w:val="CPSNumberingScheme"/>
    <w:lvl w:ilvl="0" w:tplc="8618BF5C">
      <w:start w:val="1"/>
      <w:numFmt w:val="decimal"/>
      <w:lvlText w:val="%1."/>
      <w:lvlJc w:val="right"/>
      <w:pPr>
        <w:ind w:left="500" w:hanging="180"/>
      </w:pPr>
    </w:lvl>
    <w:lvl w:ilvl="1" w:tplc="9D52CB18">
      <w:start w:val="1"/>
      <w:numFmt w:val="decimal"/>
      <w:lvlText w:val="%2."/>
      <w:lvlJc w:val="right"/>
      <w:pPr>
        <w:ind w:left="1000" w:hanging="180"/>
      </w:pPr>
    </w:lvl>
    <w:lvl w:ilvl="2" w:tplc="F03A5F44">
      <w:start w:val="1"/>
      <w:numFmt w:val="decimal"/>
      <w:lvlText w:val="%3."/>
      <w:lvlJc w:val="right"/>
      <w:pPr>
        <w:ind w:left="1500" w:hanging="180"/>
      </w:pPr>
    </w:lvl>
    <w:lvl w:ilvl="3" w:tplc="3E801876">
      <w:start w:val="1"/>
      <w:numFmt w:val="decimal"/>
      <w:lvlText w:val="%4."/>
      <w:lvlJc w:val="right"/>
      <w:pPr>
        <w:ind w:left="2000" w:hanging="180"/>
      </w:pPr>
    </w:lvl>
    <w:lvl w:ilvl="4" w:tplc="C862E75A">
      <w:start w:val="1"/>
      <w:numFmt w:val="decimal"/>
      <w:lvlText w:val="%5."/>
      <w:lvlJc w:val="right"/>
      <w:pPr>
        <w:ind w:left="2500" w:hanging="180"/>
      </w:pPr>
    </w:lvl>
    <w:lvl w:ilvl="5" w:tplc="101E8E32">
      <w:start w:val="1"/>
      <w:numFmt w:val="decimal"/>
      <w:lvlText w:val="%6."/>
      <w:lvlJc w:val="right"/>
      <w:pPr>
        <w:ind w:left="3000" w:hanging="180"/>
      </w:pPr>
    </w:lvl>
    <w:lvl w:ilvl="6" w:tplc="90989CA8">
      <w:start w:val="1"/>
      <w:numFmt w:val="decimal"/>
      <w:lvlText w:val="%7."/>
      <w:lvlJc w:val="right"/>
      <w:pPr>
        <w:ind w:left="3500" w:hanging="180"/>
      </w:pPr>
    </w:lvl>
    <w:lvl w:ilvl="7" w:tplc="8586D2CA">
      <w:start w:val="1"/>
      <w:numFmt w:val="decimal"/>
      <w:lvlText w:val="%8."/>
      <w:lvlJc w:val="right"/>
      <w:pPr>
        <w:ind w:left="4000" w:hanging="180"/>
      </w:pPr>
    </w:lvl>
    <w:lvl w:ilvl="8" w:tplc="39E429F8">
      <w:start w:val="1"/>
      <w:numFmt w:val="decimal"/>
      <w:lvlText w:val="%9."/>
      <w:lvlJc w:val="right"/>
      <w:pPr>
        <w:ind w:left="4500" w:hanging="180"/>
      </w:pPr>
    </w:lvl>
  </w:abstractNum>
  <w:abstractNum w:abstractNumId="44" w15:restartNumberingAfterBreak="0">
    <w:nsid w:val="3BEB5B2F"/>
    <w:multiLevelType w:val="hybridMultilevel"/>
    <w:tmpl w:val="C9C88BF4"/>
    <w:name w:val="CPSNumberingScheme"/>
    <w:lvl w:ilvl="0" w:tplc="8B687D7A">
      <w:start w:val="1"/>
      <w:numFmt w:val="decimal"/>
      <w:lvlText w:val="%1."/>
      <w:lvlJc w:val="right"/>
      <w:pPr>
        <w:ind w:left="500" w:hanging="180"/>
      </w:pPr>
    </w:lvl>
    <w:lvl w:ilvl="1" w:tplc="493038B4">
      <w:start w:val="1"/>
      <w:numFmt w:val="decimal"/>
      <w:lvlText w:val="%2."/>
      <w:lvlJc w:val="right"/>
      <w:pPr>
        <w:ind w:left="1000" w:hanging="180"/>
      </w:pPr>
    </w:lvl>
    <w:lvl w:ilvl="2" w:tplc="D7961510">
      <w:start w:val="1"/>
      <w:numFmt w:val="decimal"/>
      <w:lvlText w:val="%3."/>
      <w:lvlJc w:val="right"/>
      <w:pPr>
        <w:ind w:left="1500" w:hanging="180"/>
      </w:pPr>
    </w:lvl>
    <w:lvl w:ilvl="3" w:tplc="8DEE723E">
      <w:start w:val="1"/>
      <w:numFmt w:val="decimal"/>
      <w:lvlText w:val="%4."/>
      <w:lvlJc w:val="right"/>
      <w:pPr>
        <w:ind w:left="2000" w:hanging="180"/>
      </w:pPr>
    </w:lvl>
    <w:lvl w:ilvl="4" w:tplc="148CC35A">
      <w:start w:val="1"/>
      <w:numFmt w:val="decimal"/>
      <w:lvlText w:val="%5."/>
      <w:lvlJc w:val="right"/>
      <w:pPr>
        <w:ind w:left="2500" w:hanging="180"/>
      </w:pPr>
    </w:lvl>
    <w:lvl w:ilvl="5" w:tplc="F5D80286">
      <w:start w:val="1"/>
      <w:numFmt w:val="decimal"/>
      <w:lvlText w:val="%6."/>
      <w:lvlJc w:val="right"/>
      <w:pPr>
        <w:ind w:left="3000" w:hanging="180"/>
      </w:pPr>
    </w:lvl>
    <w:lvl w:ilvl="6" w:tplc="3664EE7A">
      <w:start w:val="1"/>
      <w:numFmt w:val="decimal"/>
      <w:lvlText w:val="%7."/>
      <w:lvlJc w:val="right"/>
      <w:pPr>
        <w:ind w:left="3500" w:hanging="180"/>
      </w:pPr>
    </w:lvl>
    <w:lvl w:ilvl="7" w:tplc="5D4242B2">
      <w:start w:val="1"/>
      <w:numFmt w:val="decimal"/>
      <w:lvlText w:val="%8."/>
      <w:lvlJc w:val="right"/>
      <w:pPr>
        <w:ind w:left="4000" w:hanging="180"/>
      </w:pPr>
    </w:lvl>
    <w:lvl w:ilvl="8" w:tplc="2152BF2A">
      <w:start w:val="1"/>
      <w:numFmt w:val="decimal"/>
      <w:lvlText w:val="%9."/>
      <w:lvlJc w:val="right"/>
      <w:pPr>
        <w:ind w:left="4500" w:hanging="180"/>
      </w:pPr>
    </w:lvl>
  </w:abstractNum>
  <w:abstractNum w:abstractNumId="45" w15:restartNumberingAfterBreak="0">
    <w:nsid w:val="3BF6167E"/>
    <w:multiLevelType w:val="hybridMultilevel"/>
    <w:tmpl w:val="3B2A432C"/>
    <w:name w:val="CPSNumberingScheme"/>
    <w:lvl w:ilvl="0" w:tplc="49083B04">
      <w:start w:val="1"/>
      <w:numFmt w:val="decimal"/>
      <w:lvlText w:val="%1."/>
      <w:lvlJc w:val="right"/>
      <w:pPr>
        <w:ind w:left="500" w:hanging="180"/>
      </w:pPr>
    </w:lvl>
    <w:lvl w:ilvl="1" w:tplc="878222CE">
      <w:start w:val="1"/>
      <w:numFmt w:val="decimal"/>
      <w:lvlText w:val="%2."/>
      <w:lvlJc w:val="right"/>
      <w:pPr>
        <w:ind w:left="1000" w:hanging="180"/>
      </w:pPr>
    </w:lvl>
    <w:lvl w:ilvl="2" w:tplc="C26C340C">
      <w:start w:val="1"/>
      <w:numFmt w:val="decimal"/>
      <w:lvlText w:val="%3."/>
      <w:lvlJc w:val="right"/>
      <w:pPr>
        <w:ind w:left="1500" w:hanging="180"/>
      </w:pPr>
    </w:lvl>
    <w:lvl w:ilvl="3" w:tplc="1434744C">
      <w:start w:val="1"/>
      <w:numFmt w:val="decimal"/>
      <w:lvlText w:val="%4."/>
      <w:lvlJc w:val="right"/>
      <w:pPr>
        <w:ind w:left="2000" w:hanging="180"/>
      </w:pPr>
    </w:lvl>
    <w:lvl w:ilvl="4" w:tplc="E1D8D004">
      <w:start w:val="1"/>
      <w:numFmt w:val="decimal"/>
      <w:lvlText w:val="%5."/>
      <w:lvlJc w:val="right"/>
      <w:pPr>
        <w:ind w:left="2500" w:hanging="180"/>
      </w:pPr>
    </w:lvl>
    <w:lvl w:ilvl="5" w:tplc="CC1AA5CA">
      <w:start w:val="1"/>
      <w:numFmt w:val="decimal"/>
      <w:lvlText w:val="%6."/>
      <w:lvlJc w:val="right"/>
      <w:pPr>
        <w:ind w:left="3000" w:hanging="180"/>
      </w:pPr>
    </w:lvl>
    <w:lvl w:ilvl="6" w:tplc="C5004B90">
      <w:start w:val="1"/>
      <w:numFmt w:val="decimal"/>
      <w:lvlText w:val="%7."/>
      <w:lvlJc w:val="right"/>
      <w:pPr>
        <w:ind w:left="3500" w:hanging="180"/>
      </w:pPr>
    </w:lvl>
    <w:lvl w:ilvl="7" w:tplc="4B1621C0">
      <w:start w:val="1"/>
      <w:numFmt w:val="decimal"/>
      <w:lvlText w:val="%8."/>
      <w:lvlJc w:val="right"/>
      <w:pPr>
        <w:ind w:left="4000" w:hanging="180"/>
      </w:pPr>
    </w:lvl>
    <w:lvl w:ilvl="8" w:tplc="09E026A0">
      <w:start w:val="1"/>
      <w:numFmt w:val="decimal"/>
      <w:lvlText w:val="%9."/>
      <w:lvlJc w:val="right"/>
      <w:pPr>
        <w:ind w:left="4500" w:hanging="180"/>
      </w:pPr>
    </w:lvl>
  </w:abstractNum>
  <w:abstractNum w:abstractNumId="46" w15:restartNumberingAfterBreak="0">
    <w:nsid w:val="439165EC"/>
    <w:multiLevelType w:val="hybridMultilevel"/>
    <w:tmpl w:val="D2B8846A"/>
    <w:name w:val="CPSNumberingScheme"/>
    <w:lvl w:ilvl="0" w:tplc="4EB29A34">
      <w:start w:val="1"/>
      <w:numFmt w:val="decimal"/>
      <w:lvlText w:val="%1."/>
      <w:lvlJc w:val="right"/>
      <w:pPr>
        <w:ind w:left="500" w:hanging="180"/>
      </w:pPr>
    </w:lvl>
    <w:lvl w:ilvl="1" w:tplc="5AACF4EC">
      <w:start w:val="1"/>
      <w:numFmt w:val="decimal"/>
      <w:lvlText w:val="%2."/>
      <w:lvlJc w:val="right"/>
      <w:pPr>
        <w:ind w:left="1000" w:hanging="180"/>
      </w:pPr>
    </w:lvl>
    <w:lvl w:ilvl="2" w:tplc="958E07B0">
      <w:start w:val="1"/>
      <w:numFmt w:val="decimal"/>
      <w:lvlText w:val="%3."/>
      <w:lvlJc w:val="right"/>
      <w:pPr>
        <w:ind w:left="1500" w:hanging="180"/>
      </w:pPr>
    </w:lvl>
    <w:lvl w:ilvl="3" w:tplc="6136EDD8">
      <w:start w:val="1"/>
      <w:numFmt w:val="decimal"/>
      <w:lvlText w:val="%4."/>
      <w:lvlJc w:val="right"/>
      <w:pPr>
        <w:ind w:left="2000" w:hanging="180"/>
      </w:pPr>
    </w:lvl>
    <w:lvl w:ilvl="4" w:tplc="08480676">
      <w:start w:val="1"/>
      <w:numFmt w:val="decimal"/>
      <w:lvlText w:val="%5."/>
      <w:lvlJc w:val="right"/>
      <w:pPr>
        <w:ind w:left="2500" w:hanging="180"/>
      </w:pPr>
    </w:lvl>
    <w:lvl w:ilvl="5" w:tplc="2834AA88">
      <w:start w:val="1"/>
      <w:numFmt w:val="decimal"/>
      <w:lvlText w:val="%6."/>
      <w:lvlJc w:val="right"/>
      <w:pPr>
        <w:ind w:left="3000" w:hanging="180"/>
      </w:pPr>
    </w:lvl>
    <w:lvl w:ilvl="6" w:tplc="B7B674B2">
      <w:start w:val="1"/>
      <w:numFmt w:val="decimal"/>
      <w:lvlText w:val="%7."/>
      <w:lvlJc w:val="right"/>
      <w:pPr>
        <w:ind w:left="3500" w:hanging="180"/>
      </w:pPr>
    </w:lvl>
    <w:lvl w:ilvl="7" w:tplc="3F6ECEC6">
      <w:start w:val="1"/>
      <w:numFmt w:val="decimal"/>
      <w:lvlText w:val="%8."/>
      <w:lvlJc w:val="right"/>
      <w:pPr>
        <w:ind w:left="4000" w:hanging="180"/>
      </w:pPr>
    </w:lvl>
    <w:lvl w:ilvl="8" w:tplc="2502228C">
      <w:start w:val="1"/>
      <w:numFmt w:val="decimal"/>
      <w:lvlText w:val="%9."/>
      <w:lvlJc w:val="right"/>
      <w:pPr>
        <w:ind w:left="4500" w:hanging="180"/>
      </w:pPr>
    </w:lvl>
  </w:abstractNum>
  <w:abstractNum w:abstractNumId="47" w15:restartNumberingAfterBreak="0">
    <w:nsid w:val="44A831B5"/>
    <w:multiLevelType w:val="hybridMultilevel"/>
    <w:tmpl w:val="76422556"/>
    <w:name w:val="CPSNumberingScheme"/>
    <w:lvl w:ilvl="0" w:tplc="E00CD512">
      <w:start w:val="1"/>
      <w:numFmt w:val="decimal"/>
      <w:lvlText w:val="%1."/>
      <w:lvlJc w:val="right"/>
      <w:pPr>
        <w:ind w:left="500" w:hanging="180"/>
      </w:pPr>
    </w:lvl>
    <w:lvl w:ilvl="1" w:tplc="95AA0E5C">
      <w:start w:val="1"/>
      <w:numFmt w:val="decimal"/>
      <w:lvlText w:val="%2."/>
      <w:lvlJc w:val="right"/>
      <w:pPr>
        <w:ind w:left="1000" w:hanging="180"/>
      </w:pPr>
    </w:lvl>
    <w:lvl w:ilvl="2" w:tplc="2DFEBE3A">
      <w:start w:val="1"/>
      <w:numFmt w:val="decimal"/>
      <w:lvlText w:val="%3."/>
      <w:lvlJc w:val="right"/>
      <w:pPr>
        <w:ind w:left="1500" w:hanging="180"/>
      </w:pPr>
    </w:lvl>
    <w:lvl w:ilvl="3" w:tplc="6806326E">
      <w:start w:val="1"/>
      <w:numFmt w:val="decimal"/>
      <w:lvlText w:val="%4."/>
      <w:lvlJc w:val="right"/>
      <w:pPr>
        <w:ind w:left="2000" w:hanging="180"/>
      </w:pPr>
    </w:lvl>
    <w:lvl w:ilvl="4" w:tplc="1B9EF99C">
      <w:start w:val="1"/>
      <w:numFmt w:val="decimal"/>
      <w:lvlText w:val="%5."/>
      <w:lvlJc w:val="right"/>
      <w:pPr>
        <w:ind w:left="2500" w:hanging="180"/>
      </w:pPr>
    </w:lvl>
    <w:lvl w:ilvl="5" w:tplc="5BA8933A">
      <w:start w:val="1"/>
      <w:numFmt w:val="decimal"/>
      <w:lvlText w:val="%6."/>
      <w:lvlJc w:val="right"/>
      <w:pPr>
        <w:ind w:left="3000" w:hanging="180"/>
      </w:pPr>
    </w:lvl>
    <w:lvl w:ilvl="6" w:tplc="B32AEA26">
      <w:start w:val="1"/>
      <w:numFmt w:val="decimal"/>
      <w:lvlText w:val="%7."/>
      <w:lvlJc w:val="right"/>
      <w:pPr>
        <w:ind w:left="3500" w:hanging="180"/>
      </w:pPr>
    </w:lvl>
    <w:lvl w:ilvl="7" w:tplc="5134BB24">
      <w:start w:val="1"/>
      <w:numFmt w:val="decimal"/>
      <w:lvlText w:val="%8."/>
      <w:lvlJc w:val="right"/>
      <w:pPr>
        <w:ind w:left="4000" w:hanging="180"/>
      </w:pPr>
    </w:lvl>
    <w:lvl w:ilvl="8" w:tplc="F50690C6">
      <w:start w:val="1"/>
      <w:numFmt w:val="decimal"/>
      <w:lvlText w:val="%9."/>
      <w:lvlJc w:val="right"/>
      <w:pPr>
        <w:ind w:left="4500" w:hanging="180"/>
      </w:pPr>
    </w:lvl>
  </w:abstractNum>
  <w:abstractNum w:abstractNumId="48" w15:restartNumberingAfterBreak="0">
    <w:nsid w:val="46834340"/>
    <w:multiLevelType w:val="hybridMultilevel"/>
    <w:tmpl w:val="5C6632AC"/>
    <w:name w:val="CPSNumberingScheme"/>
    <w:lvl w:ilvl="0" w:tplc="56B4CEDC">
      <w:start w:val="1"/>
      <w:numFmt w:val="decimal"/>
      <w:lvlText w:val="%1."/>
      <w:lvlJc w:val="right"/>
      <w:pPr>
        <w:ind w:left="500" w:hanging="180"/>
      </w:pPr>
    </w:lvl>
    <w:lvl w:ilvl="1" w:tplc="5BA8B068">
      <w:start w:val="1"/>
      <w:numFmt w:val="decimal"/>
      <w:lvlText w:val="%2."/>
      <w:lvlJc w:val="right"/>
      <w:pPr>
        <w:ind w:left="1000" w:hanging="180"/>
      </w:pPr>
    </w:lvl>
    <w:lvl w:ilvl="2" w:tplc="366E98BE">
      <w:start w:val="1"/>
      <w:numFmt w:val="decimal"/>
      <w:lvlText w:val="%3."/>
      <w:lvlJc w:val="right"/>
      <w:pPr>
        <w:ind w:left="1500" w:hanging="180"/>
      </w:pPr>
    </w:lvl>
    <w:lvl w:ilvl="3" w:tplc="18409E26">
      <w:start w:val="1"/>
      <w:numFmt w:val="decimal"/>
      <w:lvlText w:val="%4."/>
      <w:lvlJc w:val="right"/>
      <w:pPr>
        <w:ind w:left="2000" w:hanging="180"/>
      </w:pPr>
    </w:lvl>
    <w:lvl w:ilvl="4" w:tplc="B71C5184">
      <w:start w:val="1"/>
      <w:numFmt w:val="decimal"/>
      <w:lvlText w:val="%5."/>
      <w:lvlJc w:val="right"/>
      <w:pPr>
        <w:ind w:left="2500" w:hanging="180"/>
      </w:pPr>
    </w:lvl>
    <w:lvl w:ilvl="5" w:tplc="B824EE98">
      <w:start w:val="1"/>
      <w:numFmt w:val="decimal"/>
      <w:lvlText w:val="%6."/>
      <w:lvlJc w:val="right"/>
      <w:pPr>
        <w:ind w:left="3000" w:hanging="180"/>
      </w:pPr>
    </w:lvl>
    <w:lvl w:ilvl="6" w:tplc="D840CF00">
      <w:start w:val="1"/>
      <w:numFmt w:val="decimal"/>
      <w:lvlText w:val="%7."/>
      <w:lvlJc w:val="right"/>
      <w:pPr>
        <w:ind w:left="3500" w:hanging="180"/>
      </w:pPr>
    </w:lvl>
    <w:lvl w:ilvl="7" w:tplc="B6765464">
      <w:start w:val="1"/>
      <w:numFmt w:val="decimal"/>
      <w:lvlText w:val="%8."/>
      <w:lvlJc w:val="right"/>
      <w:pPr>
        <w:ind w:left="4000" w:hanging="180"/>
      </w:pPr>
    </w:lvl>
    <w:lvl w:ilvl="8" w:tplc="01462240">
      <w:start w:val="1"/>
      <w:numFmt w:val="decimal"/>
      <w:lvlText w:val="%9."/>
      <w:lvlJc w:val="right"/>
      <w:pPr>
        <w:ind w:left="4500" w:hanging="180"/>
      </w:pPr>
    </w:lvl>
  </w:abstractNum>
  <w:abstractNum w:abstractNumId="49" w15:restartNumberingAfterBreak="0">
    <w:nsid w:val="46FF66B9"/>
    <w:multiLevelType w:val="hybridMultilevel"/>
    <w:tmpl w:val="421E0876"/>
    <w:name w:val="CPSNumberingScheme"/>
    <w:lvl w:ilvl="0" w:tplc="FEBAB1AC">
      <w:start w:val="1"/>
      <w:numFmt w:val="decimal"/>
      <w:lvlText w:val="%1."/>
      <w:lvlJc w:val="right"/>
      <w:pPr>
        <w:ind w:left="500" w:hanging="180"/>
      </w:pPr>
    </w:lvl>
    <w:lvl w:ilvl="1" w:tplc="B7FA7E1A">
      <w:start w:val="1"/>
      <w:numFmt w:val="decimal"/>
      <w:lvlText w:val="%2."/>
      <w:lvlJc w:val="right"/>
      <w:pPr>
        <w:ind w:left="1000" w:hanging="180"/>
      </w:pPr>
    </w:lvl>
    <w:lvl w:ilvl="2" w:tplc="105E6772">
      <w:start w:val="1"/>
      <w:numFmt w:val="decimal"/>
      <w:lvlText w:val="%3."/>
      <w:lvlJc w:val="right"/>
      <w:pPr>
        <w:ind w:left="1500" w:hanging="180"/>
      </w:pPr>
    </w:lvl>
    <w:lvl w:ilvl="3" w:tplc="05A287BA">
      <w:start w:val="1"/>
      <w:numFmt w:val="decimal"/>
      <w:lvlText w:val="%4."/>
      <w:lvlJc w:val="right"/>
      <w:pPr>
        <w:ind w:left="2000" w:hanging="180"/>
      </w:pPr>
    </w:lvl>
    <w:lvl w:ilvl="4" w:tplc="6660DB7A">
      <w:start w:val="1"/>
      <w:numFmt w:val="decimal"/>
      <w:lvlText w:val="%5."/>
      <w:lvlJc w:val="right"/>
      <w:pPr>
        <w:ind w:left="2500" w:hanging="180"/>
      </w:pPr>
    </w:lvl>
    <w:lvl w:ilvl="5" w:tplc="8F2E47C2">
      <w:start w:val="1"/>
      <w:numFmt w:val="decimal"/>
      <w:lvlText w:val="%6."/>
      <w:lvlJc w:val="right"/>
      <w:pPr>
        <w:ind w:left="3000" w:hanging="180"/>
      </w:pPr>
    </w:lvl>
    <w:lvl w:ilvl="6" w:tplc="43C404FA">
      <w:start w:val="1"/>
      <w:numFmt w:val="decimal"/>
      <w:lvlText w:val="%7."/>
      <w:lvlJc w:val="right"/>
      <w:pPr>
        <w:ind w:left="3500" w:hanging="180"/>
      </w:pPr>
    </w:lvl>
    <w:lvl w:ilvl="7" w:tplc="339EA3F6">
      <w:start w:val="1"/>
      <w:numFmt w:val="decimal"/>
      <w:lvlText w:val="%8."/>
      <w:lvlJc w:val="right"/>
      <w:pPr>
        <w:ind w:left="4000" w:hanging="180"/>
      </w:pPr>
    </w:lvl>
    <w:lvl w:ilvl="8" w:tplc="8E9EEA94">
      <w:start w:val="1"/>
      <w:numFmt w:val="decimal"/>
      <w:lvlText w:val="%9."/>
      <w:lvlJc w:val="right"/>
      <w:pPr>
        <w:ind w:left="4500" w:hanging="180"/>
      </w:pPr>
    </w:lvl>
  </w:abstractNum>
  <w:abstractNum w:abstractNumId="50" w15:restartNumberingAfterBreak="0">
    <w:nsid w:val="49CE1D96"/>
    <w:multiLevelType w:val="hybridMultilevel"/>
    <w:tmpl w:val="91E43C90"/>
    <w:name w:val="CPSNumberingScheme"/>
    <w:lvl w:ilvl="0" w:tplc="E3DC23F4">
      <w:start w:val="1"/>
      <w:numFmt w:val="decimal"/>
      <w:lvlText w:val="%1."/>
      <w:lvlJc w:val="right"/>
      <w:pPr>
        <w:ind w:left="500" w:hanging="180"/>
      </w:pPr>
    </w:lvl>
    <w:lvl w:ilvl="1" w:tplc="BE4019A0">
      <w:start w:val="1"/>
      <w:numFmt w:val="decimal"/>
      <w:lvlText w:val="%2."/>
      <w:lvlJc w:val="right"/>
      <w:pPr>
        <w:ind w:left="1000" w:hanging="180"/>
      </w:pPr>
    </w:lvl>
    <w:lvl w:ilvl="2" w:tplc="9112CBA0">
      <w:start w:val="1"/>
      <w:numFmt w:val="decimal"/>
      <w:lvlText w:val="%3."/>
      <w:lvlJc w:val="right"/>
      <w:pPr>
        <w:ind w:left="1500" w:hanging="180"/>
      </w:pPr>
    </w:lvl>
    <w:lvl w:ilvl="3" w:tplc="708E76A2">
      <w:start w:val="1"/>
      <w:numFmt w:val="decimal"/>
      <w:lvlText w:val="%4."/>
      <w:lvlJc w:val="right"/>
      <w:pPr>
        <w:ind w:left="2000" w:hanging="180"/>
      </w:pPr>
    </w:lvl>
    <w:lvl w:ilvl="4" w:tplc="9BCEBCFA">
      <w:start w:val="1"/>
      <w:numFmt w:val="decimal"/>
      <w:lvlText w:val="%5."/>
      <w:lvlJc w:val="right"/>
      <w:pPr>
        <w:ind w:left="2500" w:hanging="180"/>
      </w:pPr>
    </w:lvl>
    <w:lvl w:ilvl="5" w:tplc="3BE04E7E">
      <w:start w:val="1"/>
      <w:numFmt w:val="decimal"/>
      <w:lvlText w:val="%6."/>
      <w:lvlJc w:val="right"/>
      <w:pPr>
        <w:ind w:left="3000" w:hanging="180"/>
      </w:pPr>
    </w:lvl>
    <w:lvl w:ilvl="6" w:tplc="AAAE8AB0">
      <w:start w:val="1"/>
      <w:numFmt w:val="decimal"/>
      <w:lvlText w:val="%7."/>
      <w:lvlJc w:val="right"/>
      <w:pPr>
        <w:ind w:left="3500" w:hanging="180"/>
      </w:pPr>
    </w:lvl>
    <w:lvl w:ilvl="7" w:tplc="E436B0E6">
      <w:start w:val="1"/>
      <w:numFmt w:val="decimal"/>
      <w:lvlText w:val="%8."/>
      <w:lvlJc w:val="right"/>
      <w:pPr>
        <w:ind w:left="4000" w:hanging="180"/>
      </w:pPr>
    </w:lvl>
    <w:lvl w:ilvl="8" w:tplc="1982D0C4">
      <w:start w:val="1"/>
      <w:numFmt w:val="decimal"/>
      <w:lvlText w:val="%9."/>
      <w:lvlJc w:val="right"/>
      <w:pPr>
        <w:ind w:left="4500" w:hanging="180"/>
      </w:pPr>
    </w:lvl>
  </w:abstractNum>
  <w:abstractNum w:abstractNumId="51" w15:restartNumberingAfterBreak="0">
    <w:nsid w:val="4B677BA1"/>
    <w:multiLevelType w:val="hybridMultilevel"/>
    <w:tmpl w:val="20467CFC"/>
    <w:name w:val="CPSNumberingScheme"/>
    <w:lvl w:ilvl="0" w:tplc="63AC493E">
      <w:start w:val="1"/>
      <w:numFmt w:val="decimal"/>
      <w:lvlText w:val="%1."/>
      <w:lvlJc w:val="right"/>
      <w:pPr>
        <w:ind w:left="500" w:hanging="180"/>
      </w:pPr>
    </w:lvl>
    <w:lvl w:ilvl="1" w:tplc="3BE2D606">
      <w:start w:val="1"/>
      <w:numFmt w:val="decimal"/>
      <w:lvlText w:val="%2."/>
      <w:lvlJc w:val="right"/>
      <w:pPr>
        <w:ind w:left="1000" w:hanging="180"/>
      </w:pPr>
    </w:lvl>
    <w:lvl w:ilvl="2" w:tplc="1A847AE8">
      <w:start w:val="1"/>
      <w:numFmt w:val="decimal"/>
      <w:lvlText w:val="%3."/>
      <w:lvlJc w:val="right"/>
      <w:pPr>
        <w:ind w:left="1500" w:hanging="180"/>
      </w:pPr>
    </w:lvl>
    <w:lvl w:ilvl="3" w:tplc="A18C10E2">
      <w:start w:val="1"/>
      <w:numFmt w:val="decimal"/>
      <w:lvlText w:val="%4."/>
      <w:lvlJc w:val="right"/>
      <w:pPr>
        <w:ind w:left="2000" w:hanging="180"/>
      </w:pPr>
    </w:lvl>
    <w:lvl w:ilvl="4" w:tplc="2C225930">
      <w:start w:val="1"/>
      <w:numFmt w:val="decimal"/>
      <w:lvlText w:val="%5."/>
      <w:lvlJc w:val="right"/>
      <w:pPr>
        <w:ind w:left="2500" w:hanging="180"/>
      </w:pPr>
    </w:lvl>
    <w:lvl w:ilvl="5" w:tplc="DC900FCE">
      <w:start w:val="1"/>
      <w:numFmt w:val="decimal"/>
      <w:lvlText w:val="%6."/>
      <w:lvlJc w:val="right"/>
      <w:pPr>
        <w:ind w:left="3000" w:hanging="180"/>
      </w:pPr>
    </w:lvl>
    <w:lvl w:ilvl="6" w:tplc="CAD61E6E">
      <w:start w:val="1"/>
      <w:numFmt w:val="decimal"/>
      <w:lvlText w:val="%7."/>
      <w:lvlJc w:val="right"/>
      <w:pPr>
        <w:ind w:left="3500" w:hanging="180"/>
      </w:pPr>
    </w:lvl>
    <w:lvl w:ilvl="7" w:tplc="E80470A0">
      <w:start w:val="1"/>
      <w:numFmt w:val="decimal"/>
      <w:lvlText w:val="%8."/>
      <w:lvlJc w:val="right"/>
      <w:pPr>
        <w:ind w:left="4000" w:hanging="180"/>
      </w:pPr>
    </w:lvl>
    <w:lvl w:ilvl="8" w:tplc="41E421E6">
      <w:start w:val="1"/>
      <w:numFmt w:val="decimal"/>
      <w:lvlText w:val="%9."/>
      <w:lvlJc w:val="right"/>
      <w:pPr>
        <w:ind w:left="4500" w:hanging="180"/>
      </w:pPr>
    </w:lvl>
  </w:abstractNum>
  <w:abstractNum w:abstractNumId="52" w15:restartNumberingAfterBreak="0">
    <w:nsid w:val="4BE9651C"/>
    <w:multiLevelType w:val="hybridMultilevel"/>
    <w:tmpl w:val="3CD2CF32"/>
    <w:name w:val="CPSNumberingScheme"/>
    <w:lvl w:ilvl="0" w:tplc="5108008A">
      <w:start w:val="1"/>
      <w:numFmt w:val="decimal"/>
      <w:lvlText w:val="%1."/>
      <w:lvlJc w:val="right"/>
      <w:pPr>
        <w:ind w:left="500" w:hanging="180"/>
      </w:pPr>
    </w:lvl>
    <w:lvl w:ilvl="1" w:tplc="1E44857C">
      <w:start w:val="1"/>
      <w:numFmt w:val="decimal"/>
      <w:lvlText w:val="%2."/>
      <w:lvlJc w:val="right"/>
      <w:pPr>
        <w:ind w:left="1000" w:hanging="180"/>
      </w:pPr>
    </w:lvl>
    <w:lvl w:ilvl="2" w:tplc="6A5CE648">
      <w:start w:val="1"/>
      <w:numFmt w:val="decimal"/>
      <w:lvlText w:val="%3."/>
      <w:lvlJc w:val="right"/>
      <w:pPr>
        <w:ind w:left="1500" w:hanging="180"/>
      </w:pPr>
    </w:lvl>
    <w:lvl w:ilvl="3" w:tplc="1960D03E">
      <w:start w:val="1"/>
      <w:numFmt w:val="decimal"/>
      <w:lvlText w:val="%4."/>
      <w:lvlJc w:val="right"/>
      <w:pPr>
        <w:ind w:left="2000" w:hanging="180"/>
      </w:pPr>
    </w:lvl>
    <w:lvl w:ilvl="4" w:tplc="73DE87EE">
      <w:start w:val="1"/>
      <w:numFmt w:val="decimal"/>
      <w:lvlText w:val="%5."/>
      <w:lvlJc w:val="right"/>
      <w:pPr>
        <w:ind w:left="2500" w:hanging="180"/>
      </w:pPr>
    </w:lvl>
    <w:lvl w:ilvl="5" w:tplc="3F3AF956">
      <w:start w:val="1"/>
      <w:numFmt w:val="decimal"/>
      <w:lvlText w:val="%6."/>
      <w:lvlJc w:val="right"/>
      <w:pPr>
        <w:ind w:left="3000" w:hanging="180"/>
      </w:pPr>
    </w:lvl>
    <w:lvl w:ilvl="6" w:tplc="DA8494FA">
      <w:start w:val="1"/>
      <w:numFmt w:val="decimal"/>
      <w:lvlText w:val="%7."/>
      <w:lvlJc w:val="right"/>
      <w:pPr>
        <w:ind w:left="3500" w:hanging="180"/>
      </w:pPr>
    </w:lvl>
    <w:lvl w:ilvl="7" w:tplc="AB7894DC">
      <w:start w:val="1"/>
      <w:numFmt w:val="decimal"/>
      <w:lvlText w:val="%8."/>
      <w:lvlJc w:val="right"/>
      <w:pPr>
        <w:ind w:left="4000" w:hanging="180"/>
      </w:pPr>
    </w:lvl>
    <w:lvl w:ilvl="8" w:tplc="3C7A8440">
      <w:start w:val="1"/>
      <w:numFmt w:val="decimal"/>
      <w:lvlText w:val="%9."/>
      <w:lvlJc w:val="right"/>
      <w:pPr>
        <w:ind w:left="4500" w:hanging="180"/>
      </w:pPr>
    </w:lvl>
  </w:abstractNum>
  <w:abstractNum w:abstractNumId="53" w15:restartNumberingAfterBreak="0">
    <w:nsid w:val="4D520607"/>
    <w:multiLevelType w:val="hybridMultilevel"/>
    <w:tmpl w:val="BE00BAA8"/>
    <w:name w:val="CPSNumberingScheme"/>
    <w:lvl w:ilvl="0" w:tplc="771A800C">
      <w:start w:val="1"/>
      <w:numFmt w:val="decimal"/>
      <w:lvlText w:val="%1."/>
      <w:lvlJc w:val="right"/>
      <w:pPr>
        <w:ind w:left="500" w:hanging="180"/>
      </w:pPr>
    </w:lvl>
    <w:lvl w:ilvl="1" w:tplc="C734C524">
      <w:start w:val="1"/>
      <w:numFmt w:val="decimal"/>
      <w:lvlText w:val="%2."/>
      <w:lvlJc w:val="right"/>
      <w:pPr>
        <w:ind w:left="1000" w:hanging="180"/>
      </w:pPr>
    </w:lvl>
    <w:lvl w:ilvl="2" w:tplc="9DB22920">
      <w:start w:val="1"/>
      <w:numFmt w:val="decimal"/>
      <w:lvlText w:val="%3."/>
      <w:lvlJc w:val="right"/>
      <w:pPr>
        <w:ind w:left="1500" w:hanging="180"/>
      </w:pPr>
    </w:lvl>
    <w:lvl w:ilvl="3" w:tplc="2B6E7F18">
      <w:start w:val="1"/>
      <w:numFmt w:val="decimal"/>
      <w:lvlText w:val="%4."/>
      <w:lvlJc w:val="right"/>
      <w:pPr>
        <w:ind w:left="2000" w:hanging="180"/>
      </w:pPr>
    </w:lvl>
    <w:lvl w:ilvl="4" w:tplc="5582E354">
      <w:start w:val="1"/>
      <w:numFmt w:val="decimal"/>
      <w:lvlText w:val="%5."/>
      <w:lvlJc w:val="right"/>
      <w:pPr>
        <w:ind w:left="2500" w:hanging="180"/>
      </w:pPr>
    </w:lvl>
    <w:lvl w:ilvl="5" w:tplc="8DAEC1C6">
      <w:start w:val="1"/>
      <w:numFmt w:val="decimal"/>
      <w:lvlText w:val="%6."/>
      <w:lvlJc w:val="right"/>
      <w:pPr>
        <w:ind w:left="3000" w:hanging="180"/>
      </w:pPr>
    </w:lvl>
    <w:lvl w:ilvl="6" w:tplc="6888844C">
      <w:start w:val="1"/>
      <w:numFmt w:val="decimal"/>
      <w:lvlText w:val="%7."/>
      <w:lvlJc w:val="right"/>
      <w:pPr>
        <w:ind w:left="3500" w:hanging="180"/>
      </w:pPr>
    </w:lvl>
    <w:lvl w:ilvl="7" w:tplc="DFC062FE">
      <w:start w:val="1"/>
      <w:numFmt w:val="decimal"/>
      <w:lvlText w:val="%8."/>
      <w:lvlJc w:val="right"/>
      <w:pPr>
        <w:ind w:left="4000" w:hanging="180"/>
      </w:pPr>
    </w:lvl>
    <w:lvl w:ilvl="8" w:tplc="0B344090">
      <w:start w:val="1"/>
      <w:numFmt w:val="decimal"/>
      <w:lvlText w:val="%9."/>
      <w:lvlJc w:val="right"/>
      <w:pPr>
        <w:ind w:left="4500" w:hanging="180"/>
      </w:pPr>
    </w:lvl>
  </w:abstractNum>
  <w:abstractNum w:abstractNumId="54" w15:restartNumberingAfterBreak="0">
    <w:nsid w:val="4E6E29E6"/>
    <w:multiLevelType w:val="hybridMultilevel"/>
    <w:tmpl w:val="2F461998"/>
    <w:name w:val="CPSNumberingScheme"/>
    <w:lvl w:ilvl="0" w:tplc="2242851E">
      <w:start w:val="1"/>
      <w:numFmt w:val="decimal"/>
      <w:lvlText w:val="%1."/>
      <w:lvlJc w:val="right"/>
      <w:pPr>
        <w:ind w:left="500" w:hanging="180"/>
      </w:pPr>
    </w:lvl>
    <w:lvl w:ilvl="1" w:tplc="320A1774">
      <w:start w:val="1"/>
      <w:numFmt w:val="decimal"/>
      <w:lvlText w:val="%2."/>
      <w:lvlJc w:val="right"/>
      <w:pPr>
        <w:ind w:left="1000" w:hanging="180"/>
      </w:pPr>
    </w:lvl>
    <w:lvl w:ilvl="2" w:tplc="43B299FE">
      <w:start w:val="1"/>
      <w:numFmt w:val="decimal"/>
      <w:lvlText w:val="%3."/>
      <w:lvlJc w:val="right"/>
      <w:pPr>
        <w:ind w:left="1500" w:hanging="180"/>
      </w:pPr>
    </w:lvl>
    <w:lvl w:ilvl="3" w:tplc="29E233B2">
      <w:start w:val="1"/>
      <w:numFmt w:val="decimal"/>
      <w:lvlText w:val="%4."/>
      <w:lvlJc w:val="right"/>
      <w:pPr>
        <w:ind w:left="2000" w:hanging="180"/>
      </w:pPr>
    </w:lvl>
    <w:lvl w:ilvl="4" w:tplc="8812A92E">
      <w:start w:val="1"/>
      <w:numFmt w:val="decimal"/>
      <w:lvlText w:val="%5."/>
      <w:lvlJc w:val="right"/>
      <w:pPr>
        <w:ind w:left="2500" w:hanging="180"/>
      </w:pPr>
    </w:lvl>
    <w:lvl w:ilvl="5" w:tplc="C1CE78C6">
      <w:start w:val="1"/>
      <w:numFmt w:val="decimal"/>
      <w:lvlText w:val="%6."/>
      <w:lvlJc w:val="right"/>
      <w:pPr>
        <w:ind w:left="3000" w:hanging="180"/>
      </w:pPr>
    </w:lvl>
    <w:lvl w:ilvl="6" w:tplc="ACCEE6F0">
      <w:start w:val="1"/>
      <w:numFmt w:val="decimal"/>
      <w:lvlText w:val="%7."/>
      <w:lvlJc w:val="right"/>
      <w:pPr>
        <w:ind w:left="3500" w:hanging="180"/>
      </w:pPr>
    </w:lvl>
    <w:lvl w:ilvl="7" w:tplc="1FC2B952">
      <w:start w:val="1"/>
      <w:numFmt w:val="decimal"/>
      <w:lvlText w:val="%8."/>
      <w:lvlJc w:val="right"/>
      <w:pPr>
        <w:ind w:left="4000" w:hanging="180"/>
      </w:pPr>
    </w:lvl>
    <w:lvl w:ilvl="8" w:tplc="FAAA0F10">
      <w:start w:val="1"/>
      <w:numFmt w:val="decimal"/>
      <w:lvlText w:val="%9."/>
      <w:lvlJc w:val="right"/>
      <w:pPr>
        <w:ind w:left="4500" w:hanging="180"/>
      </w:pPr>
    </w:lvl>
  </w:abstractNum>
  <w:abstractNum w:abstractNumId="55" w15:restartNumberingAfterBreak="0">
    <w:nsid w:val="509D4E48"/>
    <w:multiLevelType w:val="hybridMultilevel"/>
    <w:tmpl w:val="EB92D580"/>
    <w:name w:val="CPSNumberingScheme"/>
    <w:lvl w:ilvl="0" w:tplc="3DCE7096">
      <w:start w:val="1"/>
      <w:numFmt w:val="decimal"/>
      <w:lvlText w:val="%1."/>
      <w:lvlJc w:val="right"/>
      <w:pPr>
        <w:ind w:left="500" w:hanging="180"/>
      </w:pPr>
    </w:lvl>
    <w:lvl w:ilvl="1" w:tplc="B1DE3D44">
      <w:start w:val="1"/>
      <w:numFmt w:val="decimal"/>
      <w:lvlText w:val="%2."/>
      <w:lvlJc w:val="right"/>
      <w:pPr>
        <w:ind w:left="1000" w:hanging="180"/>
      </w:pPr>
    </w:lvl>
    <w:lvl w:ilvl="2" w:tplc="D7E8975C">
      <w:start w:val="1"/>
      <w:numFmt w:val="decimal"/>
      <w:lvlText w:val="%3."/>
      <w:lvlJc w:val="right"/>
      <w:pPr>
        <w:ind w:left="1500" w:hanging="180"/>
      </w:pPr>
    </w:lvl>
    <w:lvl w:ilvl="3" w:tplc="1262B0B0">
      <w:start w:val="1"/>
      <w:numFmt w:val="decimal"/>
      <w:lvlText w:val="%4."/>
      <w:lvlJc w:val="right"/>
      <w:pPr>
        <w:ind w:left="2000" w:hanging="180"/>
      </w:pPr>
    </w:lvl>
    <w:lvl w:ilvl="4" w:tplc="E892BA9A">
      <w:start w:val="1"/>
      <w:numFmt w:val="decimal"/>
      <w:lvlText w:val="%5."/>
      <w:lvlJc w:val="right"/>
      <w:pPr>
        <w:ind w:left="2500" w:hanging="180"/>
      </w:pPr>
    </w:lvl>
    <w:lvl w:ilvl="5" w:tplc="2CC87336">
      <w:start w:val="1"/>
      <w:numFmt w:val="decimal"/>
      <w:lvlText w:val="%6."/>
      <w:lvlJc w:val="right"/>
      <w:pPr>
        <w:ind w:left="3000" w:hanging="180"/>
      </w:pPr>
    </w:lvl>
    <w:lvl w:ilvl="6" w:tplc="65109D74">
      <w:start w:val="1"/>
      <w:numFmt w:val="decimal"/>
      <w:lvlText w:val="%7."/>
      <w:lvlJc w:val="right"/>
      <w:pPr>
        <w:ind w:left="3500" w:hanging="180"/>
      </w:pPr>
    </w:lvl>
    <w:lvl w:ilvl="7" w:tplc="E772B302">
      <w:start w:val="1"/>
      <w:numFmt w:val="decimal"/>
      <w:lvlText w:val="%8."/>
      <w:lvlJc w:val="right"/>
      <w:pPr>
        <w:ind w:left="4000" w:hanging="180"/>
      </w:pPr>
    </w:lvl>
    <w:lvl w:ilvl="8" w:tplc="D7F21AF0">
      <w:start w:val="1"/>
      <w:numFmt w:val="decimal"/>
      <w:lvlText w:val="%9."/>
      <w:lvlJc w:val="right"/>
      <w:pPr>
        <w:ind w:left="4500" w:hanging="180"/>
      </w:pPr>
    </w:lvl>
  </w:abstractNum>
  <w:abstractNum w:abstractNumId="56" w15:restartNumberingAfterBreak="0">
    <w:nsid w:val="520D0683"/>
    <w:multiLevelType w:val="multilevel"/>
    <w:tmpl w:val="FB92D0E6"/>
    <w:lvl w:ilvl="0">
      <w:start w:val="1"/>
      <w:numFmt w:val="decimal"/>
      <w:pStyle w:val="NumberParagraph"/>
      <w:lvlText w:val="%1."/>
      <w:lvlJc w:val="left"/>
      <w:pPr>
        <w:ind w:left="71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23E6499"/>
    <w:multiLevelType w:val="hybridMultilevel"/>
    <w:tmpl w:val="37423AE8"/>
    <w:name w:val="CPSNumberingScheme"/>
    <w:lvl w:ilvl="0" w:tplc="637CE932">
      <w:start w:val="1"/>
      <w:numFmt w:val="decimal"/>
      <w:lvlText w:val="%1."/>
      <w:lvlJc w:val="right"/>
      <w:pPr>
        <w:ind w:left="500" w:hanging="180"/>
      </w:pPr>
    </w:lvl>
    <w:lvl w:ilvl="1" w:tplc="E826B614">
      <w:start w:val="1"/>
      <w:numFmt w:val="decimal"/>
      <w:lvlText w:val="%2."/>
      <w:lvlJc w:val="right"/>
      <w:pPr>
        <w:ind w:left="1000" w:hanging="180"/>
      </w:pPr>
    </w:lvl>
    <w:lvl w:ilvl="2" w:tplc="95D6D244">
      <w:start w:val="1"/>
      <w:numFmt w:val="decimal"/>
      <w:lvlText w:val="%3."/>
      <w:lvlJc w:val="right"/>
      <w:pPr>
        <w:ind w:left="1500" w:hanging="180"/>
      </w:pPr>
    </w:lvl>
    <w:lvl w:ilvl="3" w:tplc="21D0B430">
      <w:start w:val="1"/>
      <w:numFmt w:val="decimal"/>
      <w:lvlText w:val="%4."/>
      <w:lvlJc w:val="right"/>
      <w:pPr>
        <w:ind w:left="2000" w:hanging="180"/>
      </w:pPr>
    </w:lvl>
    <w:lvl w:ilvl="4" w:tplc="11DCA2C4">
      <w:start w:val="1"/>
      <w:numFmt w:val="decimal"/>
      <w:lvlText w:val="%5."/>
      <w:lvlJc w:val="right"/>
      <w:pPr>
        <w:ind w:left="2500" w:hanging="180"/>
      </w:pPr>
    </w:lvl>
    <w:lvl w:ilvl="5" w:tplc="ADD44870">
      <w:start w:val="1"/>
      <w:numFmt w:val="decimal"/>
      <w:lvlText w:val="%6."/>
      <w:lvlJc w:val="right"/>
      <w:pPr>
        <w:ind w:left="3000" w:hanging="180"/>
      </w:pPr>
    </w:lvl>
    <w:lvl w:ilvl="6" w:tplc="7B9A57D6">
      <w:start w:val="1"/>
      <w:numFmt w:val="decimal"/>
      <w:lvlText w:val="%7."/>
      <w:lvlJc w:val="right"/>
      <w:pPr>
        <w:ind w:left="3500" w:hanging="180"/>
      </w:pPr>
    </w:lvl>
    <w:lvl w:ilvl="7" w:tplc="35569DEC">
      <w:start w:val="1"/>
      <w:numFmt w:val="decimal"/>
      <w:lvlText w:val="%8."/>
      <w:lvlJc w:val="right"/>
      <w:pPr>
        <w:ind w:left="4000" w:hanging="180"/>
      </w:pPr>
    </w:lvl>
    <w:lvl w:ilvl="8" w:tplc="EE001006">
      <w:start w:val="1"/>
      <w:numFmt w:val="decimal"/>
      <w:lvlText w:val="%9."/>
      <w:lvlJc w:val="right"/>
      <w:pPr>
        <w:ind w:left="4500" w:hanging="180"/>
      </w:pPr>
    </w:lvl>
  </w:abstractNum>
  <w:abstractNum w:abstractNumId="58" w15:restartNumberingAfterBreak="0">
    <w:nsid w:val="53250414"/>
    <w:multiLevelType w:val="hybridMultilevel"/>
    <w:tmpl w:val="62582EF4"/>
    <w:name w:val="CPSNumberingScheme"/>
    <w:lvl w:ilvl="0" w:tplc="90127A3E">
      <w:start w:val="1"/>
      <w:numFmt w:val="decimal"/>
      <w:lvlText w:val="%1."/>
      <w:lvlJc w:val="right"/>
      <w:pPr>
        <w:ind w:left="500" w:hanging="180"/>
      </w:pPr>
    </w:lvl>
    <w:lvl w:ilvl="1" w:tplc="FADECB50">
      <w:start w:val="1"/>
      <w:numFmt w:val="decimal"/>
      <w:lvlText w:val="%2."/>
      <w:lvlJc w:val="right"/>
      <w:pPr>
        <w:ind w:left="1000" w:hanging="180"/>
      </w:pPr>
    </w:lvl>
    <w:lvl w:ilvl="2" w:tplc="5EA09D18">
      <w:start w:val="1"/>
      <w:numFmt w:val="decimal"/>
      <w:lvlText w:val="%3."/>
      <w:lvlJc w:val="right"/>
      <w:pPr>
        <w:ind w:left="1500" w:hanging="180"/>
      </w:pPr>
    </w:lvl>
    <w:lvl w:ilvl="3" w:tplc="26807C94">
      <w:start w:val="1"/>
      <w:numFmt w:val="decimal"/>
      <w:lvlText w:val="%4."/>
      <w:lvlJc w:val="right"/>
      <w:pPr>
        <w:ind w:left="2000" w:hanging="180"/>
      </w:pPr>
    </w:lvl>
    <w:lvl w:ilvl="4" w:tplc="CBE829FA">
      <w:start w:val="1"/>
      <w:numFmt w:val="decimal"/>
      <w:lvlText w:val="%5."/>
      <w:lvlJc w:val="right"/>
      <w:pPr>
        <w:ind w:left="2500" w:hanging="180"/>
      </w:pPr>
    </w:lvl>
    <w:lvl w:ilvl="5" w:tplc="C22E1026">
      <w:start w:val="1"/>
      <w:numFmt w:val="decimal"/>
      <w:lvlText w:val="%6."/>
      <w:lvlJc w:val="right"/>
      <w:pPr>
        <w:ind w:left="3000" w:hanging="180"/>
      </w:pPr>
    </w:lvl>
    <w:lvl w:ilvl="6" w:tplc="E71A5DDA">
      <w:start w:val="1"/>
      <w:numFmt w:val="decimal"/>
      <w:lvlText w:val="%7."/>
      <w:lvlJc w:val="right"/>
      <w:pPr>
        <w:ind w:left="3500" w:hanging="180"/>
      </w:pPr>
    </w:lvl>
    <w:lvl w:ilvl="7" w:tplc="F030178A">
      <w:start w:val="1"/>
      <w:numFmt w:val="decimal"/>
      <w:lvlText w:val="%8."/>
      <w:lvlJc w:val="right"/>
      <w:pPr>
        <w:ind w:left="4000" w:hanging="180"/>
      </w:pPr>
    </w:lvl>
    <w:lvl w:ilvl="8" w:tplc="6400E678">
      <w:start w:val="1"/>
      <w:numFmt w:val="decimal"/>
      <w:lvlText w:val="%9."/>
      <w:lvlJc w:val="right"/>
      <w:pPr>
        <w:ind w:left="4500" w:hanging="180"/>
      </w:pPr>
    </w:lvl>
  </w:abstractNum>
  <w:abstractNum w:abstractNumId="59" w15:restartNumberingAfterBreak="0">
    <w:nsid w:val="563D29F3"/>
    <w:multiLevelType w:val="hybridMultilevel"/>
    <w:tmpl w:val="FA48374C"/>
    <w:name w:val="CPSNumberingScheme"/>
    <w:lvl w:ilvl="0" w:tplc="B6F464E8">
      <w:start w:val="1"/>
      <w:numFmt w:val="decimal"/>
      <w:lvlText w:val="%1."/>
      <w:lvlJc w:val="right"/>
      <w:pPr>
        <w:ind w:left="500" w:hanging="180"/>
      </w:pPr>
    </w:lvl>
    <w:lvl w:ilvl="1" w:tplc="837CB5C6">
      <w:start w:val="1"/>
      <w:numFmt w:val="decimal"/>
      <w:lvlText w:val="%2."/>
      <w:lvlJc w:val="right"/>
      <w:pPr>
        <w:ind w:left="1000" w:hanging="180"/>
      </w:pPr>
    </w:lvl>
    <w:lvl w:ilvl="2" w:tplc="E76A6EAC">
      <w:start w:val="1"/>
      <w:numFmt w:val="decimal"/>
      <w:lvlText w:val="%3."/>
      <w:lvlJc w:val="right"/>
      <w:pPr>
        <w:ind w:left="1500" w:hanging="180"/>
      </w:pPr>
    </w:lvl>
    <w:lvl w:ilvl="3" w:tplc="44782768">
      <w:start w:val="1"/>
      <w:numFmt w:val="decimal"/>
      <w:lvlText w:val="%4."/>
      <w:lvlJc w:val="right"/>
      <w:pPr>
        <w:ind w:left="2000" w:hanging="180"/>
      </w:pPr>
    </w:lvl>
    <w:lvl w:ilvl="4" w:tplc="41E20D92">
      <w:start w:val="1"/>
      <w:numFmt w:val="decimal"/>
      <w:lvlText w:val="%5."/>
      <w:lvlJc w:val="right"/>
      <w:pPr>
        <w:ind w:left="2500" w:hanging="180"/>
      </w:pPr>
    </w:lvl>
    <w:lvl w:ilvl="5" w:tplc="08249914">
      <w:start w:val="1"/>
      <w:numFmt w:val="decimal"/>
      <w:lvlText w:val="%6."/>
      <w:lvlJc w:val="right"/>
      <w:pPr>
        <w:ind w:left="3000" w:hanging="180"/>
      </w:pPr>
    </w:lvl>
    <w:lvl w:ilvl="6" w:tplc="FEF82024">
      <w:start w:val="1"/>
      <w:numFmt w:val="decimal"/>
      <w:lvlText w:val="%7."/>
      <w:lvlJc w:val="right"/>
      <w:pPr>
        <w:ind w:left="3500" w:hanging="180"/>
      </w:pPr>
    </w:lvl>
    <w:lvl w:ilvl="7" w:tplc="875E8DF2">
      <w:start w:val="1"/>
      <w:numFmt w:val="decimal"/>
      <w:lvlText w:val="%8."/>
      <w:lvlJc w:val="right"/>
      <w:pPr>
        <w:ind w:left="4000" w:hanging="180"/>
      </w:pPr>
    </w:lvl>
    <w:lvl w:ilvl="8" w:tplc="24402DDC">
      <w:start w:val="1"/>
      <w:numFmt w:val="decimal"/>
      <w:lvlText w:val="%9."/>
      <w:lvlJc w:val="right"/>
      <w:pPr>
        <w:ind w:left="4500" w:hanging="180"/>
      </w:pPr>
    </w:lvl>
  </w:abstractNum>
  <w:abstractNum w:abstractNumId="60" w15:restartNumberingAfterBreak="0">
    <w:nsid w:val="56FE1915"/>
    <w:multiLevelType w:val="hybridMultilevel"/>
    <w:tmpl w:val="F8EAA9DC"/>
    <w:name w:val="CPSNumberingScheme"/>
    <w:lvl w:ilvl="0" w:tplc="F10E2CB0">
      <w:start w:val="1"/>
      <w:numFmt w:val="decimal"/>
      <w:lvlText w:val="%1."/>
      <w:lvlJc w:val="right"/>
      <w:pPr>
        <w:ind w:left="500" w:hanging="180"/>
      </w:pPr>
    </w:lvl>
    <w:lvl w:ilvl="1" w:tplc="C972B706">
      <w:start w:val="1"/>
      <w:numFmt w:val="decimal"/>
      <w:lvlText w:val="%2."/>
      <w:lvlJc w:val="right"/>
      <w:pPr>
        <w:ind w:left="1000" w:hanging="180"/>
      </w:pPr>
    </w:lvl>
    <w:lvl w:ilvl="2" w:tplc="E7AE8C20">
      <w:start w:val="1"/>
      <w:numFmt w:val="decimal"/>
      <w:lvlText w:val="%3."/>
      <w:lvlJc w:val="right"/>
      <w:pPr>
        <w:ind w:left="1500" w:hanging="180"/>
      </w:pPr>
    </w:lvl>
    <w:lvl w:ilvl="3" w:tplc="111A53A6">
      <w:start w:val="1"/>
      <w:numFmt w:val="decimal"/>
      <w:lvlText w:val="%4."/>
      <w:lvlJc w:val="right"/>
      <w:pPr>
        <w:ind w:left="2000" w:hanging="180"/>
      </w:pPr>
    </w:lvl>
    <w:lvl w:ilvl="4" w:tplc="9AD45FF2">
      <w:start w:val="1"/>
      <w:numFmt w:val="decimal"/>
      <w:lvlText w:val="%5."/>
      <w:lvlJc w:val="right"/>
      <w:pPr>
        <w:ind w:left="2500" w:hanging="180"/>
      </w:pPr>
    </w:lvl>
    <w:lvl w:ilvl="5" w:tplc="62DE62CE">
      <w:start w:val="1"/>
      <w:numFmt w:val="decimal"/>
      <w:lvlText w:val="%6."/>
      <w:lvlJc w:val="right"/>
      <w:pPr>
        <w:ind w:left="3000" w:hanging="180"/>
      </w:pPr>
    </w:lvl>
    <w:lvl w:ilvl="6" w:tplc="D996EDDC">
      <w:start w:val="1"/>
      <w:numFmt w:val="decimal"/>
      <w:lvlText w:val="%7."/>
      <w:lvlJc w:val="right"/>
      <w:pPr>
        <w:ind w:left="3500" w:hanging="180"/>
      </w:pPr>
    </w:lvl>
    <w:lvl w:ilvl="7" w:tplc="AB6E251E">
      <w:start w:val="1"/>
      <w:numFmt w:val="decimal"/>
      <w:lvlText w:val="%8."/>
      <w:lvlJc w:val="right"/>
      <w:pPr>
        <w:ind w:left="4000" w:hanging="180"/>
      </w:pPr>
    </w:lvl>
    <w:lvl w:ilvl="8" w:tplc="37AE7C6E">
      <w:start w:val="1"/>
      <w:numFmt w:val="decimal"/>
      <w:lvlText w:val="%9."/>
      <w:lvlJc w:val="right"/>
      <w:pPr>
        <w:ind w:left="4500" w:hanging="180"/>
      </w:pPr>
    </w:lvl>
  </w:abstractNum>
  <w:abstractNum w:abstractNumId="61" w15:restartNumberingAfterBreak="0">
    <w:nsid w:val="5A47239A"/>
    <w:multiLevelType w:val="hybridMultilevel"/>
    <w:tmpl w:val="1400B64E"/>
    <w:name w:val="CPSNumberingScheme"/>
    <w:lvl w:ilvl="0" w:tplc="6512E9BC">
      <w:start w:val="1"/>
      <w:numFmt w:val="decimal"/>
      <w:lvlText w:val="%1."/>
      <w:lvlJc w:val="right"/>
      <w:pPr>
        <w:ind w:left="500" w:hanging="180"/>
      </w:pPr>
    </w:lvl>
    <w:lvl w:ilvl="1" w:tplc="65606E04">
      <w:start w:val="1"/>
      <w:numFmt w:val="decimal"/>
      <w:lvlText w:val="%2."/>
      <w:lvlJc w:val="right"/>
      <w:pPr>
        <w:ind w:left="1000" w:hanging="180"/>
      </w:pPr>
    </w:lvl>
    <w:lvl w:ilvl="2" w:tplc="034A9A46">
      <w:start w:val="1"/>
      <w:numFmt w:val="decimal"/>
      <w:lvlText w:val="%3."/>
      <w:lvlJc w:val="right"/>
      <w:pPr>
        <w:ind w:left="1500" w:hanging="180"/>
      </w:pPr>
    </w:lvl>
    <w:lvl w:ilvl="3" w:tplc="DB587850">
      <w:start w:val="1"/>
      <w:numFmt w:val="decimal"/>
      <w:lvlText w:val="%4."/>
      <w:lvlJc w:val="right"/>
      <w:pPr>
        <w:ind w:left="2000" w:hanging="180"/>
      </w:pPr>
    </w:lvl>
    <w:lvl w:ilvl="4" w:tplc="121650EA">
      <w:start w:val="1"/>
      <w:numFmt w:val="decimal"/>
      <w:lvlText w:val="%5."/>
      <w:lvlJc w:val="right"/>
      <w:pPr>
        <w:ind w:left="2500" w:hanging="180"/>
      </w:pPr>
    </w:lvl>
    <w:lvl w:ilvl="5" w:tplc="7BDE7F88">
      <w:start w:val="1"/>
      <w:numFmt w:val="decimal"/>
      <w:lvlText w:val="%6."/>
      <w:lvlJc w:val="right"/>
      <w:pPr>
        <w:ind w:left="3000" w:hanging="180"/>
      </w:pPr>
    </w:lvl>
    <w:lvl w:ilvl="6" w:tplc="EA76588C">
      <w:start w:val="1"/>
      <w:numFmt w:val="decimal"/>
      <w:lvlText w:val="%7."/>
      <w:lvlJc w:val="right"/>
      <w:pPr>
        <w:ind w:left="3500" w:hanging="180"/>
      </w:pPr>
    </w:lvl>
    <w:lvl w:ilvl="7" w:tplc="478AD7F0">
      <w:start w:val="1"/>
      <w:numFmt w:val="decimal"/>
      <w:lvlText w:val="%8."/>
      <w:lvlJc w:val="right"/>
      <w:pPr>
        <w:ind w:left="4000" w:hanging="180"/>
      </w:pPr>
    </w:lvl>
    <w:lvl w:ilvl="8" w:tplc="A0A08EC0">
      <w:start w:val="1"/>
      <w:numFmt w:val="decimal"/>
      <w:lvlText w:val="%9."/>
      <w:lvlJc w:val="right"/>
      <w:pPr>
        <w:ind w:left="4500" w:hanging="180"/>
      </w:pPr>
    </w:lvl>
  </w:abstractNum>
  <w:abstractNum w:abstractNumId="62" w15:restartNumberingAfterBreak="0">
    <w:nsid w:val="5A71712A"/>
    <w:multiLevelType w:val="hybridMultilevel"/>
    <w:tmpl w:val="5128FB72"/>
    <w:name w:val="CPSNumberingScheme"/>
    <w:lvl w:ilvl="0" w:tplc="D628400C">
      <w:start w:val="1"/>
      <w:numFmt w:val="decimal"/>
      <w:lvlText w:val="%1."/>
      <w:lvlJc w:val="right"/>
      <w:pPr>
        <w:ind w:left="500" w:hanging="180"/>
      </w:pPr>
    </w:lvl>
    <w:lvl w:ilvl="1" w:tplc="94B09D38">
      <w:start w:val="1"/>
      <w:numFmt w:val="decimal"/>
      <w:lvlText w:val="%2."/>
      <w:lvlJc w:val="right"/>
      <w:pPr>
        <w:ind w:left="1000" w:hanging="180"/>
      </w:pPr>
    </w:lvl>
    <w:lvl w:ilvl="2" w:tplc="1696C6AC">
      <w:start w:val="1"/>
      <w:numFmt w:val="decimal"/>
      <w:lvlText w:val="%3."/>
      <w:lvlJc w:val="right"/>
      <w:pPr>
        <w:ind w:left="1500" w:hanging="180"/>
      </w:pPr>
    </w:lvl>
    <w:lvl w:ilvl="3" w:tplc="657E255A">
      <w:start w:val="1"/>
      <w:numFmt w:val="decimal"/>
      <w:lvlText w:val="%4."/>
      <w:lvlJc w:val="right"/>
      <w:pPr>
        <w:ind w:left="2000" w:hanging="180"/>
      </w:pPr>
    </w:lvl>
    <w:lvl w:ilvl="4" w:tplc="312A67B8">
      <w:start w:val="1"/>
      <w:numFmt w:val="decimal"/>
      <w:lvlText w:val="%5."/>
      <w:lvlJc w:val="right"/>
      <w:pPr>
        <w:ind w:left="2500" w:hanging="180"/>
      </w:pPr>
    </w:lvl>
    <w:lvl w:ilvl="5" w:tplc="631246F8">
      <w:start w:val="1"/>
      <w:numFmt w:val="decimal"/>
      <w:lvlText w:val="%6."/>
      <w:lvlJc w:val="right"/>
      <w:pPr>
        <w:ind w:left="3000" w:hanging="180"/>
      </w:pPr>
    </w:lvl>
    <w:lvl w:ilvl="6" w:tplc="FB0A684C">
      <w:start w:val="1"/>
      <w:numFmt w:val="decimal"/>
      <w:lvlText w:val="%7."/>
      <w:lvlJc w:val="right"/>
      <w:pPr>
        <w:ind w:left="3500" w:hanging="180"/>
      </w:pPr>
    </w:lvl>
    <w:lvl w:ilvl="7" w:tplc="96A60A3A">
      <w:start w:val="1"/>
      <w:numFmt w:val="decimal"/>
      <w:lvlText w:val="%8."/>
      <w:lvlJc w:val="right"/>
      <w:pPr>
        <w:ind w:left="4000" w:hanging="180"/>
      </w:pPr>
    </w:lvl>
    <w:lvl w:ilvl="8" w:tplc="B896F6BC">
      <w:start w:val="1"/>
      <w:numFmt w:val="decimal"/>
      <w:lvlText w:val="%9."/>
      <w:lvlJc w:val="right"/>
      <w:pPr>
        <w:ind w:left="4500" w:hanging="180"/>
      </w:pPr>
    </w:lvl>
  </w:abstractNum>
  <w:abstractNum w:abstractNumId="63" w15:restartNumberingAfterBreak="0">
    <w:nsid w:val="5CF035B5"/>
    <w:multiLevelType w:val="hybridMultilevel"/>
    <w:tmpl w:val="3FD89C58"/>
    <w:name w:val="CPSNumberingScheme"/>
    <w:lvl w:ilvl="0" w:tplc="5D7849D8">
      <w:start w:val="1"/>
      <w:numFmt w:val="decimal"/>
      <w:lvlText w:val="%1."/>
      <w:lvlJc w:val="right"/>
      <w:pPr>
        <w:ind w:left="500" w:hanging="180"/>
      </w:pPr>
    </w:lvl>
    <w:lvl w:ilvl="1" w:tplc="533A2B80">
      <w:start w:val="1"/>
      <w:numFmt w:val="decimal"/>
      <w:lvlText w:val="%2."/>
      <w:lvlJc w:val="right"/>
      <w:pPr>
        <w:ind w:left="1000" w:hanging="180"/>
      </w:pPr>
    </w:lvl>
    <w:lvl w:ilvl="2" w:tplc="1F0A1DE0">
      <w:start w:val="1"/>
      <w:numFmt w:val="decimal"/>
      <w:lvlText w:val="%3."/>
      <w:lvlJc w:val="right"/>
      <w:pPr>
        <w:ind w:left="1500" w:hanging="180"/>
      </w:pPr>
    </w:lvl>
    <w:lvl w:ilvl="3" w:tplc="A37667DC">
      <w:start w:val="1"/>
      <w:numFmt w:val="decimal"/>
      <w:lvlText w:val="%4."/>
      <w:lvlJc w:val="right"/>
      <w:pPr>
        <w:ind w:left="2000" w:hanging="180"/>
      </w:pPr>
    </w:lvl>
    <w:lvl w:ilvl="4" w:tplc="EFF669EC">
      <w:start w:val="1"/>
      <w:numFmt w:val="decimal"/>
      <w:lvlText w:val="%5."/>
      <w:lvlJc w:val="right"/>
      <w:pPr>
        <w:ind w:left="2500" w:hanging="180"/>
      </w:pPr>
    </w:lvl>
    <w:lvl w:ilvl="5" w:tplc="1B04E618">
      <w:start w:val="1"/>
      <w:numFmt w:val="decimal"/>
      <w:lvlText w:val="%6."/>
      <w:lvlJc w:val="right"/>
      <w:pPr>
        <w:ind w:left="3000" w:hanging="180"/>
      </w:pPr>
    </w:lvl>
    <w:lvl w:ilvl="6" w:tplc="C9C874C6">
      <w:start w:val="1"/>
      <w:numFmt w:val="decimal"/>
      <w:lvlText w:val="%7."/>
      <w:lvlJc w:val="right"/>
      <w:pPr>
        <w:ind w:left="3500" w:hanging="180"/>
      </w:pPr>
    </w:lvl>
    <w:lvl w:ilvl="7" w:tplc="74CC1D2A">
      <w:start w:val="1"/>
      <w:numFmt w:val="decimal"/>
      <w:lvlText w:val="%8."/>
      <w:lvlJc w:val="right"/>
      <w:pPr>
        <w:ind w:left="4000" w:hanging="180"/>
      </w:pPr>
    </w:lvl>
    <w:lvl w:ilvl="8" w:tplc="1BA009CC">
      <w:start w:val="1"/>
      <w:numFmt w:val="decimal"/>
      <w:lvlText w:val="%9."/>
      <w:lvlJc w:val="right"/>
      <w:pPr>
        <w:ind w:left="4500" w:hanging="180"/>
      </w:pPr>
    </w:lvl>
  </w:abstractNum>
  <w:abstractNum w:abstractNumId="64" w15:restartNumberingAfterBreak="0">
    <w:nsid w:val="5E675406"/>
    <w:multiLevelType w:val="hybridMultilevel"/>
    <w:tmpl w:val="8688B3C6"/>
    <w:name w:val="CPSNumberingScheme"/>
    <w:lvl w:ilvl="0" w:tplc="50A66FFA">
      <w:start w:val="1"/>
      <w:numFmt w:val="decimal"/>
      <w:lvlText w:val="%1."/>
      <w:lvlJc w:val="right"/>
      <w:pPr>
        <w:ind w:left="500" w:hanging="180"/>
      </w:pPr>
    </w:lvl>
    <w:lvl w:ilvl="1" w:tplc="2C9015DE">
      <w:start w:val="1"/>
      <w:numFmt w:val="decimal"/>
      <w:lvlText w:val="%2."/>
      <w:lvlJc w:val="right"/>
      <w:pPr>
        <w:ind w:left="1000" w:hanging="180"/>
      </w:pPr>
    </w:lvl>
    <w:lvl w:ilvl="2" w:tplc="5462AA40">
      <w:start w:val="1"/>
      <w:numFmt w:val="decimal"/>
      <w:lvlText w:val="%3."/>
      <w:lvlJc w:val="right"/>
      <w:pPr>
        <w:ind w:left="1500" w:hanging="180"/>
      </w:pPr>
    </w:lvl>
    <w:lvl w:ilvl="3" w:tplc="FC562112">
      <w:start w:val="1"/>
      <w:numFmt w:val="decimal"/>
      <w:lvlText w:val="%4."/>
      <w:lvlJc w:val="right"/>
      <w:pPr>
        <w:ind w:left="2000" w:hanging="180"/>
      </w:pPr>
    </w:lvl>
    <w:lvl w:ilvl="4" w:tplc="2E20F2C0">
      <w:start w:val="1"/>
      <w:numFmt w:val="decimal"/>
      <w:lvlText w:val="%5."/>
      <w:lvlJc w:val="right"/>
      <w:pPr>
        <w:ind w:left="2500" w:hanging="180"/>
      </w:pPr>
    </w:lvl>
    <w:lvl w:ilvl="5" w:tplc="329AC9B4">
      <w:start w:val="1"/>
      <w:numFmt w:val="decimal"/>
      <w:lvlText w:val="%6."/>
      <w:lvlJc w:val="right"/>
      <w:pPr>
        <w:ind w:left="3000" w:hanging="180"/>
      </w:pPr>
    </w:lvl>
    <w:lvl w:ilvl="6" w:tplc="BB5EAF8E">
      <w:start w:val="1"/>
      <w:numFmt w:val="decimal"/>
      <w:lvlText w:val="%7."/>
      <w:lvlJc w:val="right"/>
      <w:pPr>
        <w:ind w:left="3500" w:hanging="180"/>
      </w:pPr>
    </w:lvl>
    <w:lvl w:ilvl="7" w:tplc="4D2ABC56">
      <w:start w:val="1"/>
      <w:numFmt w:val="decimal"/>
      <w:lvlText w:val="%8."/>
      <w:lvlJc w:val="right"/>
      <w:pPr>
        <w:ind w:left="4000" w:hanging="180"/>
      </w:pPr>
    </w:lvl>
    <w:lvl w:ilvl="8" w:tplc="CAE68666">
      <w:start w:val="1"/>
      <w:numFmt w:val="decimal"/>
      <w:lvlText w:val="%9."/>
      <w:lvlJc w:val="right"/>
      <w:pPr>
        <w:ind w:left="4500" w:hanging="180"/>
      </w:pPr>
    </w:lvl>
  </w:abstractNum>
  <w:abstractNum w:abstractNumId="65" w15:restartNumberingAfterBreak="0">
    <w:nsid w:val="5FA04CDC"/>
    <w:multiLevelType w:val="hybridMultilevel"/>
    <w:tmpl w:val="B0CC181E"/>
    <w:name w:val="CPSNumberingScheme"/>
    <w:lvl w:ilvl="0" w:tplc="B20AD220">
      <w:start w:val="1"/>
      <w:numFmt w:val="decimal"/>
      <w:lvlText w:val="%1."/>
      <w:lvlJc w:val="right"/>
      <w:pPr>
        <w:ind w:left="500" w:hanging="180"/>
      </w:pPr>
    </w:lvl>
    <w:lvl w:ilvl="1" w:tplc="D558134C">
      <w:start w:val="1"/>
      <w:numFmt w:val="decimal"/>
      <w:lvlText w:val="%2."/>
      <w:lvlJc w:val="right"/>
      <w:pPr>
        <w:ind w:left="1000" w:hanging="180"/>
      </w:pPr>
    </w:lvl>
    <w:lvl w:ilvl="2" w:tplc="AFEED48C">
      <w:start w:val="1"/>
      <w:numFmt w:val="decimal"/>
      <w:lvlText w:val="%3."/>
      <w:lvlJc w:val="right"/>
      <w:pPr>
        <w:ind w:left="1500" w:hanging="180"/>
      </w:pPr>
    </w:lvl>
    <w:lvl w:ilvl="3" w:tplc="9FA02980">
      <w:start w:val="1"/>
      <w:numFmt w:val="decimal"/>
      <w:lvlText w:val="%4."/>
      <w:lvlJc w:val="right"/>
      <w:pPr>
        <w:ind w:left="2000" w:hanging="180"/>
      </w:pPr>
    </w:lvl>
    <w:lvl w:ilvl="4" w:tplc="96886D2C">
      <w:start w:val="1"/>
      <w:numFmt w:val="decimal"/>
      <w:lvlText w:val="%5."/>
      <w:lvlJc w:val="right"/>
      <w:pPr>
        <w:ind w:left="2500" w:hanging="180"/>
      </w:pPr>
    </w:lvl>
    <w:lvl w:ilvl="5" w:tplc="BE88D736">
      <w:start w:val="1"/>
      <w:numFmt w:val="decimal"/>
      <w:lvlText w:val="%6."/>
      <w:lvlJc w:val="right"/>
      <w:pPr>
        <w:ind w:left="3000" w:hanging="180"/>
      </w:pPr>
    </w:lvl>
    <w:lvl w:ilvl="6" w:tplc="D222FB6A">
      <w:start w:val="1"/>
      <w:numFmt w:val="decimal"/>
      <w:lvlText w:val="%7."/>
      <w:lvlJc w:val="right"/>
      <w:pPr>
        <w:ind w:left="3500" w:hanging="180"/>
      </w:pPr>
    </w:lvl>
    <w:lvl w:ilvl="7" w:tplc="B388EB66">
      <w:start w:val="1"/>
      <w:numFmt w:val="decimal"/>
      <w:lvlText w:val="%8."/>
      <w:lvlJc w:val="right"/>
      <w:pPr>
        <w:ind w:left="4000" w:hanging="180"/>
      </w:pPr>
    </w:lvl>
    <w:lvl w:ilvl="8" w:tplc="599E8C16">
      <w:start w:val="1"/>
      <w:numFmt w:val="decimal"/>
      <w:lvlText w:val="%9."/>
      <w:lvlJc w:val="right"/>
      <w:pPr>
        <w:ind w:left="4500" w:hanging="180"/>
      </w:pPr>
    </w:lvl>
  </w:abstractNum>
  <w:abstractNum w:abstractNumId="66" w15:restartNumberingAfterBreak="0">
    <w:nsid w:val="5FEF1056"/>
    <w:multiLevelType w:val="hybridMultilevel"/>
    <w:tmpl w:val="C0EA60D8"/>
    <w:name w:val="CPSNumberingScheme"/>
    <w:lvl w:ilvl="0" w:tplc="A1E8B594">
      <w:start w:val="1"/>
      <w:numFmt w:val="decimal"/>
      <w:lvlText w:val="%1."/>
      <w:lvlJc w:val="right"/>
      <w:pPr>
        <w:ind w:left="500" w:hanging="180"/>
      </w:pPr>
    </w:lvl>
    <w:lvl w:ilvl="1" w:tplc="68FACF96">
      <w:start w:val="1"/>
      <w:numFmt w:val="decimal"/>
      <w:lvlText w:val="%2."/>
      <w:lvlJc w:val="right"/>
      <w:pPr>
        <w:ind w:left="1000" w:hanging="180"/>
      </w:pPr>
    </w:lvl>
    <w:lvl w:ilvl="2" w:tplc="67A0E568">
      <w:start w:val="1"/>
      <w:numFmt w:val="decimal"/>
      <w:lvlText w:val="%3."/>
      <w:lvlJc w:val="right"/>
      <w:pPr>
        <w:ind w:left="1500" w:hanging="180"/>
      </w:pPr>
    </w:lvl>
    <w:lvl w:ilvl="3" w:tplc="8300F502">
      <w:start w:val="1"/>
      <w:numFmt w:val="decimal"/>
      <w:lvlText w:val="%4."/>
      <w:lvlJc w:val="right"/>
      <w:pPr>
        <w:ind w:left="2000" w:hanging="180"/>
      </w:pPr>
    </w:lvl>
    <w:lvl w:ilvl="4" w:tplc="F168E02E">
      <w:start w:val="1"/>
      <w:numFmt w:val="decimal"/>
      <w:lvlText w:val="%5."/>
      <w:lvlJc w:val="right"/>
      <w:pPr>
        <w:ind w:left="2500" w:hanging="180"/>
      </w:pPr>
    </w:lvl>
    <w:lvl w:ilvl="5" w:tplc="E5069528">
      <w:start w:val="1"/>
      <w:numFmt w:val="decimal"/>
      <w:lvlText w:val="%6."/>
      <w:lvlJc w:val="right"/>
      <w:pPr>
        <w:ind w:left="3000" w:hanging="180"/>
      </w:pPr>
    </w:lvl>
    <w:lvl w:ilvl="6" w:tplc="A93E381E">
      <w:start w:val="1"/>
      <w:numFmt w:val="decimal"/>
      <w:lvlText w:val="%7."/>
      <w:lvlJc w:val="right"/>
      <w:pPr>
        <w:ind w:left="3500" w:hanging="180"/>
      </w:pPr>
    </w:lvl>
    <w:lvl w:ilvl="7" w:tplc="65A0047C">
      <w:start w:val="1"/>
      <w:numFmt w:val="decimal"/>
      <w:lvlText w:val="%8."/>
      <w:lvlJc w:val="right"/>
      <w:pPr>
        <w:ind w:left="4000" w:hanging="180"/>
      </w:pPr>
    </w:lvl>
    <w:lvl w:ilvl="8" w:tplc="8290554E">
      <w:start w:val="1"/>
      <w:numFmt w:val="decimal"/>
      <w:lvlText w:val="%9."/>
      <w:lvlJc w:val="right"/>
      <w:pPr>
        <w:ind w:left="4500" w:hanging="180"/>
      </w:pPr>
    </w:lvl>
  </w:abstractNum>
  <w:abstractNum w:abstractNumId="67" w15:restartNumberingAfterBreak="0">
    <w:nsid w:val="61BF3213"/>
    <w:multiLevelType w:val="hybridMultilevel"/>
    <w:tmpl w:val="5FDA9546"/>
    <w:name w:val="CPSNumberingScheme"/>
    <w:lvl w:ilvl="0" w:tplc="4DDC7CDA">
      <w:start w:val="1"/>
      <w:numFmt w:val="decimal"/>
      <w:lvlText w:val="%1."/>
      <w:lvlJc w:val="right"/>
      <w:pPr>
        <w:ind w:left="500" w:hanging="180"/>
      </w:pPr>
    </w:lvl>
    <w:lvl w:ilvl="1" w:tplc="41AAA768">
      <w:start w:val="1"/>
      <w:numFmt w:val="decimal"/>
      <w:lvlText w:val="%2."/>
      <w:lvlJc w:val="right"/>
      <w:pPr>
        <w:ind w:left="1000" w:hanging="180"/>
      </w:pPr>
    </w:lvl>
    <w:lvl w:ilvl="2" w:tplc="E46248B0">
      <w:start w:val="1"/>
      <w:numFmt w:val="decimal"/>
      <w:lvlText w:val="%3."/>
      <w:lvlJc w:val="right"/>
      <w:pPr>
        <w:ind w:left="1500" w:hanging="180"/>
      </w:pPr>
    </w:lvl>
    <w:lvl w:ilvl="3" w:tplc="E22A058C">
      <w:start w:val="1"/>
      <w:numFmt w:val="decimal"/>
      <w:lvlText w:val="%4."/>
      <w:lvlJc w:val="right"/>
      <w:pPr>
        <w:ind w:left="2000" w:hanging="180"/>
      </w:pPr>
    </w:lvl>
    <w:lvl w:ilvl="4" w:tplc="2626FE6E">
      <w:start w:val="1"/>
      <w:numFmt w:val="decimal"/>
      <w:lvlText w:val="%5."/>
      <w:lvlJc w:val="right"/>
      <w:pPr>
        <w:ind w:left="2500" w:hanging="180"/>
      </w:pPr>
    </w:lvl>
    <w:lvl w:ilvl="5" w:tplc="51E65F1A">
      <w:start w:val="1"/>
      <w:numFmt w:val="decimal"/>
      <w:lvlText w:val="%6."/>
      <w:lvlJc w:val="right"/>
      <w:pPr>
        <w:ind w:left="3000" w:hanging="180"/>
      </w:pPr>
    </w:lvl>
    <w:lvl w:ilvl="6" w:tplc="FCBEB1F2">
      <w:start w:val="1"/>
      <w:numFmt w:val="decimal"/>
      <w:lvlText w:val="%7."/>
      <w:lvlJc w:val="right"/>
      <w:pPr>
        <w:ind w:left="3500" w:hanging="180"/>
      </w:pPr>
    </w:lvl>
    <w:lvl w:ilvl="7" w:tplc="FFBA4C50">
      <w:start w:val="1"/>
      <w:numFmt w:val="decimal"/>
      <w:lvlText w:val="%8."/>
      <w:lvlJc w:val="right"/>
      <w:pPr>
        <w:ind w:left="4000" w:hanging="180"/>
      </w:pPr>
    </w:lvl>
    <w:lvl w:ilvl="8" w:tplc="1F124504">
      <w:start w:val="1"/>
      <w:numFmt w:val="decimal"/>
      <w:lvlText w:val="%9."/>
      <w:lvlJc w:val="right"/>
      <w:pPr>
        <w:ind w:left="4500" w:hanging="180"/>
      </w:pPr>
    </w:lvl>
  </w:abstractNum>
  <w:abstractNum w:abstractNumId="68" w15:restartNumberingAfterBreak="0">
    <w:nsid w:val="626F0412"/>
    <w:multiLevelType w:val="hybridMultilevel"/>
    <w:tmpl w:val="9612A7CE"/>
    <w:name w:val="CPSNumberingScheme"/>
    <w:lvl w:ilvl="0" w:tplc="FE780BB2">
      <w:start w:val="1"/>
      <w:numFmt w:val="decimal"/>
      <w:lvlText w:val="%1."/>
      <w:lvlJc w:val="right"/>
      <w:pPr>
        <w:ind w:left="500" w:hanging="180"/>
      </w:pPr>
    </w:lvl>
    <w:lvl w:ilvl="1" w:tplc="F828DADE">
      <w:start w:val="1"/>
      <w:numFmt w:val="decimal"/>
      <w:lvlText w:val="%2."/>
      <w:lvlJc w:val="right"/>
      <w:pPr>
        <w:ind w:left="1000" w:hanging="180"/>
      </w:pPr>
    </w:lvl>
    <w:lvl w:ilvl="2" w:tplc="09A082EA">
      <w:start w:val="1"/>
      <w:numFmt w:val="decimal"/>
      <w:lvlText w:val="%3."/>
      <w:lvlJc w:val="right"/>
      <w:pPr>
        <w:ind w:left="1500" w:hanging="180"/>
      </w:pPr>
    </w:lvl>
    <w:lvl w:ilvl="3" w:tplc="B4BAC6FC">
      <w:start w:val="1"/>
      <w:numFmt w:val="decimal"/>
      <w:lvlText w:val="%4."/>
      <w:lvlJc w:val="right"/>
      <w:pPr>
        <w:ind w:left="2000" w:hanging="180"/>
      </w:pPr>
    </w:lvl>
    <w:lvl w:ilvl="4" w:tplc="4F0622BA">
      <w:start w:val="1"/>
      <w:numFmt w:val="decimal"/>
      <w:lvlText w:val="%5."/>
      <w:lvlJc w:val="right"/>
      <w:pPr>
        <w:ind w:left="2500" w:hanging="180"/>
      </w:pPr>
    </w:lvl>
    <w:lvl w:ilvl="5" w:tplc="8222C902">
      <w:start w:val="1"/>
      <w:numFmt w:val="decimal"/>
      <w:lvlText w:val="%6."/>
      <w:lvlJc w:val="right"/>
      <w:pPr>
        <w:ind w:left="3000" w:hanging="180"/>
      </w:pPr>
    </w:lvl>
    <w:lvl w:ilvl="6" w:tplc="E86290C6">
      <w:start w:val="1"/>
      <w:numFmt w:val="decimal"/>
      <w:lvlText w:val="%7."/>
      <w:lvlJc w:val="right"/>
      <w:pPr>
        <w:ind w:left="3500" w:hanging="180"/>
      </w:pPr>
    </w:lvl>
    <w:lvl w:ilvl="7" w:tplc="8CCA8F16">
      <w:start w:val="1"/>
      <w:numFmt w:val="decimal"/>
      <w:lvlText w:val="%8."/>
      <w:lvlJc w:val="right"/>
      <w:pPr>
        <w:ind w:left="4000" w:hanging="180"/>
      </w:pPr>
    </w:lvl>
    <w:lvl w:ilvl="8" w:tplc="E632CB30">
      <w:start w:val="1"/>
      <w:numFmt w:val="decimal"/>
      <w:lvlText w:val="%9."/>
      <w:lvlJc w:val="right"/>
      <w:pPr>
        <w:ind w:left="4500" w:hanging="180"/>
      </w:pPr>
    </w:lvl>
  </w:abstractNum>
  <w:abstractNum w:abstractNumId="69" w15:restartNumberingAfterBreak="0">
    <w:nsid w:val="63C84706"/>
    <w:multiLevelType w:val="hybridMultilevel"/>
    <w:tmpl w:val="06B213CA"/>
    <w:name w:val="CPSNumberingScheme"/>
    <w:lvl w:ilvl="0" w:tplc="7F52DCBA">
      <w:start w:val="1"/>
      <w:numFmt w:val="decimal"/>
      <w:lvlText w:val="%1."/>
      <w:lvlJc w:val="right"/>
      <w:pPr>
        <w:ind w:left="500" w:hanging="180"/>
      </w:pPr>
    </w:lvl>
    <w:lvl w:ilvl="1" w:tplc="514E8F20">
      <w:start w:val="1"/>
      <w:numFmt w:val="decimal"/>
      <w:lvlText w:val="%2."/>
      <w:lvlJc w:val="right"/>
      <w:pPr>
        <w:ind w:left="1000" w:hanging="180"/>
      </w:pPr>
    </w:lvl>
    <w:lvl w:ilvl="2" w:tplc="5A68B536">
      <w:start w:val="1"/>
      <w:numFmt w:val="decimal"/>
      <w:lvlText w:val="%3."/>
      <w:lvlJc w:val="right"/>
      <w:pPr>
        <w:ind w:left="1500" w:hanging="180"/>
      </w:pPr>
    </w:lvl>
    <w:lvl w:ilvl="3" w:tplc="680625E0">
      <w:start w:val="1"/>
      <w:numFmt w:val="decimal"/>
      <w:lvlText w:val="%4."/>
      <w:lvlJc w:val="right"/>
      <w:pPr>
        <w:ind w:left="2000" w:hanging="180"/>
      </w:pPr>
    </w:lvl>
    <w:lvl w:ilvl="4" w:tplc="6B18D584">
      <w:start w:val="1"/>
      <w:numFmt w:val="decimal"/>
      <w:lvlText w:val="%5."/>
      <w:lvlJc w:val="right"/>
      <w:pPr>
        <w:ind w:left="2500" w:hanging="180"/>
      </w:pPr>
    </w:lvl>
    <w:lvl w:ilvl="5" w:tplc="B510B4D0">
      <w:start w:val="1"/>
      <w:numFmt w:val="decimal"/>
      <w:lvlText w:val="%6."/>
      <w:lvlJc w:val="right"/>
      <w:pPr>
        <w:ind w:left="3000" w:hanging="180"/>
      </w:pPr>
    </w:lvl>
    <w:lvl w:ilvl="6" w:tplc="14880E8E">
      <w:start w:val="1"/>
      <w:numFmt w:val="decimal"/>
      <w:lvlText w:val="%7."/>
      <w:lvlJc w:val="right"/>
      <w:pPr>
        <w:ind w:left="3500" w:hanging="180"/>
      </w:pPr>
    </w:lvl>
    <w:lvl w:ilvl="7" w:tplc="A07A0B7E">
      <w:start w:val="1"/>
      <w:numFmt w:val="decimal"/>
      <w:lvlText w:val="%8."/>
      <w:lvlJc w:val="right"/>
      <w:pPr>
        <w:ind w:left="4000" w:hanging="180"/>
      </w:pPr>
    </w:lvl>
    <w:lvl w:ilvl="8" w:tplc="1D022702">
      <w:start w:val="1"/>
      <w:numFmt w:val="decimal"/>
      <w:lvlText w:val="%9."/>
      <w:lvlJc w:val="right"/>
      <w:pPr>
        <w:ind w:left="4500" w:hanging="180"/>
      </w:pPr>
    </w:lvl>
  </w:abstractNum>
  <w:abstractNum w:abstractNumId="70" w15:restartNumberingAfterBreak="0">
    <w:nsid w:val="66981622"/>
    <w:multiLevelType w:val="hybridMultilevel"/>
    <w:tmpl w:val="9790D3B2"/>
    <w:name w:val="CPSNumberingScheme"/>
    <w:lvl w:ilvl="0" w:tplc="13E0E4EA">
      <w:start w:val="1"/>
      <w:numFmt w:val="decimal"/>
      <w:lvlText w:val="%1."/>
      <w:lvlJc w:val="right"/>
      <w:pPr>
        <w:ind w:left="500" w:hanging="180"/>
      </w:pPr>
    </w:lvl>
    <w:lvl w:ilvl="1" w:tplc="AA68F994">
      <w:start w:val="1"/>
      <w:numFmt w:val="decimal"/>
      <w:lvlText w:val="%2."/>
      <w:lvlJc w:val="right"/>
      <w:pPr>
        <w:ind w:left="1000" w:hanging="180"/>
      </w:pPr>
    </w:lvl>
    <w:lvl w:ilvl="2" w:tplc="4120E574">
      <w:start w:val="1"/>
      <w:numFmt w:val="decimal"/>
      <w:lvlText w:val="%3."/>
      <w:lvlJc w:val="right"/>
      <w:pPr>
        <w:ind w:left="1500" w:hanging="180"/>
      </w:pPr>
    </w:lvl>
    <w:lvl w:ilvl="3" w:tplc="4EB62C58">
      <w:start w:val="1"/>
      <w:numFmt w:val="decimal"/>
      <w:lvlText w:val="%4."/>
      <w:lvlJc w:val="right"/>
      <w:pPr>
        <w:ind w:left="2000" w:hanging="180"/>
      </w:pPr>
    </w:lvl>
    <w:lvl w:ilvl="4" w:tplc="79A04BA8">
      <w:start w:val="1"/>
      <w:numFmt w:val="decimal"/>
      <w:lvlText w:val="%5."/>
      <w:lvlJc w:val="right"/>
      <w:pPr>
        <w:ind w:left="2500" w:hanging="180"/>
      </w:pPr>
    </w:lvl>
    <w:lvl w:ilvl="5" w:tplc="EEA6D6DC">
      <w:start w:val="1"/>
      <w:numFmt w:val="decimal"/>
      <w:lvlText w:val="%6."/>
      <w:lvlJc w:val="right"/>
      <w:pPr>
        <w:ind w:left="3000" w:hanging="180"/>
      </w:pPr>
    </w:lvl>
    <w:lvl w:ilvl="6" w:tplc="5890E3DE">
      <w:start w:val="1"/>
      <w:numFmt w:val="decimal"/>
      <w:lvlText w:val="%7."/>
      <w:lvlJc w:val="right"/>
      <w:pPr>
        <w:ind w:left="3500" w:hanging="180"/>
      </w:pPr>
    </w:lvl>
    <w:lvl w:ilvl="7" w:tplc="46B882DA">
      <w:start w:val="1"/>
      <w:numFmt w:val="decimal"/>
      <w:lvlText w:val="%8."/>
      <w:lvlJc w:val="right"/>
      <w:pPr>
        <w:ind w:left="4000" w:hanging="180"/>
      </w:pPr>
    </w:lvl>
    <w:lvl w:ilvl="8" w:tplc="49C67DCC">
      <w:start w:val="1"/>
      <w:numFmt w:val="decimal"/>
      <w:lvlText w:val="%9."/>
      <w:lvlJc w:val="right"/>
      <w:pPr>
        <w:ind w:left="4500" w:hanging="180"/>
      </w:pPr>
    </w:lvl>
  </w:abstractNum>
  <w:abstractNum w:abstractNumId="71" w15:restartNumberingAfterBreak="0">
    <w:nsid w:val="672B377D"/>
    <w:multiLevelType w:val="hybridMultilevel"/>
    <w:tmpl w:val="E6085842"/>
    <w:name w:val="CPSNumberingScheme"/>
    <w:lvl w:ilvl="0" w:tplc="38768E48">
      <w:start w:val="1"/>
      <w:numFmt w:val="decimal"/>
      <w:lvlText w:val="%1."/>
      <w:lvlJc w:val="right"/>
      <w:pPr>
        <w:ind w:left="500" w:hanging="180"/>
      </w:pPr>
    </w:lvl>
    <w:lvl w:ilvl="1" w:tplc="E090965A">
      <w:start w:val="1"/>
      <w:numFmt w:val="decimal"/>
      <w:lvlText w:val="%2."/>
      <w:lvlJc w:val="right"/>
      <w:pPr>
        <w:ind w:left="1000" w:hanging="180"/>
      </w:pPr>
    </w:lvl>
    <w:lvl w:ilvl="2" w:tplc="7CFE9924">
      <w:start w:val="1"/>
      <w:numFmt w:val="decimal"/>
      <w:lvlText w:val="%3."/>
      <w:lvlJc w:val="right"/>
      <w:pPr>
        <w:ind w:left="1500" w:hanging="180"/>
      </w:pPr>
    </w:lvl>
    <w:lvl w:ilvl="3" w:tplc="7458E16E">
      <w:start w:val="1"/>
      <w:numFmt w:val="decimal"/>
      <w:lvlText w:val="%4."/>
      <w:lvlJc w:val="right"/>
      <w:pPr>
        <w:ind w:left="2000" w:hanging="180"/>
      </w:pPr>
    </w:lvl>
    <w:lvl w:ilvl="4" w:tplc="E8EA0F00">
      <w:start w:val="1"/>
      <w:numFmt w:val="decimal"/>
      <w:lvlText w:val="%5."/>
      <w:lvlJc w:val="right"/>
      <w:pPr>
        <w:ind w:left="2500" w:hanging="180"/>
      </w:pPr>
    </w:lvl>
    <w:lvl w:ilvl="5" w:tplc="C6CE481A">
      <w:start w:val="1"/>
      <w:numFmt w:val="decimal"/>
      <w:lvlText w:val="%6."/>
      <w:lvlJc w:val="right"/>
      <w:pPr>
        <w:ind w:left="3000" w:hanging="180"/>
      </w:pPr>
    </w:lvl>
    <w:lvl w:ilvl="6" w:tplc="82AA1676">
      <w:start w:val="1"/>
      <w:numFmt w:val="decimal"/>
      <w:lvlText w:val="%7."/>
      <w:lvlJc w:val="right"/>
      <w:pPr>
        <w:ind w:left="3500" w:hanging="180"/>
      </w:pPr>
    </w:lvl>
    <w:lvl w:ilvl="7" w:tplc="33022EA8">
      <w:start w:val="1"/>
      <w:numFmt w:val="decimal"/>
      <w:lvlText w:val="%8."/>
      <w:lvlJc w:val="right"/>
      <w:pPr>
        <w:ind w:left="4000" w:hanging="180"/>
      </w:pPr>
    </w:lvl>
    <w:lvl w:ilvl="8" w:tplc="3C9A43EC">
      <w:start w:val="1"/>
      <w:numFmt w:val="decimal"/>
      <w:lvlText w:val="%9."/>
      <w:lvlJc w:val="right"/>
      <w:pPr>
        <w:ind w:left="4500" w:hanging="180"/>
      </w:pPr>
    </w:lvl>
  </w:abstractNum>
  <w:abstractNum w:abstractNumId="72" w15:restartNumberingAfterBreak="0">
    <w:nsid w:val="68612A89"/>
    <w:multiLevelType w:val="hybridMultilevel"/>
    <w:tmpl w:val="08E6D548"/>
    <w:name w:val="CPSNumberingScheme"/>
    <w:lvl w:ilvl="0" w:tplc="C4CAFBA6">
      <w:start w:val="1"/>
      <w:numFmt w:val="decimal"/>
      <w:lvlText w:val="%1."/>
      <w:lvlJc w:val="right"/>
      <w:pPr>
        <w:ind w:left="500" w:hanging="180"/>
      </w:pPr>
    </w:lvl>
    <w:lvl w:ilvl="1" w:tplc="DC763968">
      <w:start w:val="1"/>
      <w:numFmt w:val="decimal"/>
      <w:lvlText w:val="%2."/>
      <w:lvlJc w:val="right"/>
      <w:pPr>
        <w:ind w:left="1000" w:hanging="180"/>
      </w:pPr>
    </w:lvl>
    <w:lvl w:ilvl="2" w:tplc="D8AA771C">
      <w:start w:val="1"/>
      <w:numFmt w:val="decimal"/>
      <w:lvlText w:val="%3."/>
      <w:lvlJc w:val="right"/>
      <w:pPr>
        <w:ind w:left="1500" w:hanging="180"/>
      </w:pPr>
    </w:lvl>
    <w:lvl w:ilvl="3" w:tplc="CD3403FA">
      <w:start w:val="1"/>
      <w:numFmt w:val="decimal"/>
      <w:lvlText w:val="%4."/>
      <w:lvlJc w:val="right"/>
      <w:pPr>
        <w:ind w:left="2000" w:hanging="180"/>
      </w:pPr>
    </w:lvl>
    <w:lvl w:ilvl="4" w:tplc="F154B4AE">
      <w:start w:val="1"/>
      <w:numFmt w:val="decimal"/>
      <w:lvlText w:val="%5."/>
      <w:lvlJc w:val="right"/>
      <w:pPr>
        <w:ind w:left="2500" w:hanging="180"/>
      </w:pPr>
    </w:lvl>
    <w:lvl w:ilvl="5" w:tplc="13502076">
      <w:start w:val="1"/>
      <w:numFmt w:val="decimal"/>
      <w:lvlText w:val="%6."/>
      <w:lvlJc w:val="right"/>
      <w:pPr>
        <w:ind w:left="3000" w:hanging="180"/>
      </w:pPr>
    </w:lvl>
    <w:lvl w:ilvl="6" w:tplc="A1D60CAA">
      <w:start w:val="1"/>
      <w:numFmt w:val="decimal"/>
      <w:lvlText w:val="%7."/>
      <w:lvlJc w:val="right"/>
      <w:pPr>
        <w:ind w:left="3500" w:hanging="180"/>
      </w:pPr>
    </w:lvl>
    <w:lvl w:ilvl="7" w:tplc="4122489E">
      <w:start w:val="1"/>
      <w:numFmt w:val="decimal"/>
      <w:lvlText w:val="%8."/>
      <w:lvlJc w:val="right"/>
      <w:pPr>
        <w:ind w:left="4000" w:hanging="180"/>
      </w:pPr>
    </w:lvl>
    <w:lvl w:ilvl="8" w:tplc="54C220A2">
      <w:start w:val="1"/>
      <w:numFmt w:val="decimal"/>
      <w:lvlText w:val="%9."/>
      <w:lvlJc w:val="right"/>
      <w:pPr>
        <w:ind w:left="4500" w:hanging="180"/>
      </w:pPr>
    </w:lvl>
  </w:abstractNum>
  <w:abstractNum w:abstractNumId="73" w15:restartNumberingAfterBreak="0">
    <w:nsid w:val="690115CB"/>
    <w:multiLevelType w:val="hybridMultilevel"/>
    <w:tmpl w:val="7C983986"/>
    <w:name w:val="CPSNumberingScheme"/>
    <w:lvl w:ilvl="0" w:tplc="29A04782">
      <w:start w:val="1"/>
      <w:numFmt w:val="decimal"/>
      <w:lvlText w:val="%1."/>
      <w:lvlJc w:val="right"/>
      <w:pPr>
        <w:ind w:left="500" w:hanging="180"/>
      </w:pPr>
    </w:lvl>
    <w:lvl w:ilvl="1" w:tplc="A694142E">
      <w:start w:val="1"/>
      <w:numFmt w:val="decimal"/>
      <w:lvlText w:val="%2."/>
      <w:lvlJc w:val="right"/>
      <w:pPr>
        <w:ind w:left="1000" w:hanging="180"/>
      </w:pPr>
    </w:lvl>
    <w:lvl w:ilvl="2" w:tplc="82C2BC6E">
      <w:start w:val="1"/>
      <w:numFmt w:val="decimal"/>
      <w:lvlText w:val="%3."/>
      <w:lvlJc w:val="right"/>
      <w:pPr>
        <w:ind w:left="1500" w:hanging="180"/>
      </w:pPr>
    </w:lvl>
    <w:lvl w:ilvl="3" w:tplc="4B5098E2">
      <w:start w:val="1"/>
      <w:numFmt w:val="decimal"/>
      <w:lvlText w:val="%4."/>
      <w:lvlJc w:val="right"/>
      <w:pPr>
        <w:ind w:left="2000" w:hanging="180"/>
      </w:pPr>
    </w:lvl>
    <w:lvl w:ilvl="4" w:tplc="8D6AC3C2">
      <w:start w:val="1"/>
      <w:numFmt w:val="decimal"/>
      <w:lvlText w:val="%5."/>
      <w:lvlJc w:val="right"/>
      <w:pPr>
        <w:ind w:left="2500" w:hanging="180"/>
      </w:pPr>
    </w:lvl>
    <w:lvl w:ilvl="5" w:tplc="9F146016">
      <w:start w:val="1"/>
      <w:numFmt w:val="decimal"/>
      <w:lvlText w:val="%6."/>
      <w:lvlJc w:val="right"/>
      <w:pPr>
        <w:ind w:left="3000" w:hanging="180"/>
      </w:pPr>
    </w:lvl>
    <w:lvl w:ilvl="6" w:tplc="C4C07916">
      <w:start w:val="1"/>
      <w:numFmt w:val="decimal"/>
      <w:lvlText w:val="%7."/>
      <w:lvlJc w:val="right"/>
      <w:pPr>
        <w:ind w:left="3500" w:hanging="180"/>
      </w:pPr>
    </w:lvl>
    <w:lvl w:ilvl="7" w:tplc="CB364F1C">
      <w:start w:val="1"/>
      <w:numFmt w:val="decimal"/>
      <w:lvlText w:val="%8."/>
      <w:lvlJc w:val="right"/>
      <w:pPr>
        <w:ind w:left="4000" w:hanging="180"/>
      </w:pPr>
    </w:lvl>
    <w:lvl w:ilvl="8" w:tplc="6DF48F48">
      <w:start w:val="1"/>
      <w:numFmt w:val="decimal"/>
      <w:lvlText w:val="%9."/>
      <w:lvlJc w:val="right"/>
      <w:pPr>
        <w:ind w:left="4500" w:hanging="180"/>
      </w:pPr>
    </w:lvl>
  </w:abstractNum>
  <w:abstractNum w:abstractNumId="74" w15:restartNumberingAfterBreak="0">
    <w:nsid w:val="691178B4"/>
    <w:multiLevelType w:val="hybridMultilevel"/>
    <w:tmpl w:val="BA840B7A"/>
    <w:name w:val="CPSNumberingScheme"/>
    <w:lvl w:ilvl="0" w:tplc="A964FEF8">
      <w:start w:val="1"/>
      <w:numFmt w:val="decimal"/>
      <w:pStyle w:val="NumberParagraphAlpha"/>
      <w:lvlText w:val="%1."/>
      <w:lvlJc w:val="right"/>
      <w:pPr>
        <w:ind w:left="500" w:hanging="180"/>
      </w:pPr>
    </w:lvl>
    <w:lvl w:ilvl="1" w:tplc="F372DFEC">
      <w:start w:val="1"/>
      <w:numFmt w:val="decimal"/>
      <w:lvlText w:val="%2."/>
      <w:lvlJc w:val="right"/>
      <w:pPr>
        <w:ind w:left="1000" w:hanging="180"/>
      </w:pPr>
    </w:lvl>
    <w:lvl w:ilvl="2" w:tplc="11F401B4">
      <w:start w:val="1"/>
      <w:numFmt w:val="decimal"/>
      <w:lvlText w:val="%3."/>
      <w:lvlJc w:val="right"/>
      <w:pPr>
        <w:ind w:left="1500" w:hanging="180"/>
      </w:pPr>
    </w:lvl>
    <w:lvl w:ilvl="3" w:tplc="A67C733E">
      <w:start w:val="1"/>
      <w:numFmt w:val="decimal"/>
      <w:lvlText w:val="%4."/>
      <w:lvlJc w:val="right"/>
      <w:pPr>
        <w:ind w:left="2000" w:hanging="180"/>
      </w:pPr>
    </w:lvl>
    <w:lvl w:ilvl="4" w:tplc="AD3EC860">
      <w:start w:val="1"/>
      <w:numFmt w:val="decimal"/>
      <w:lvlText w:val="%5."/>
      <w:lvlJc w:val="right"/>
      <w:pPr>
        <w:ind w:left="2500" w:hanging="180"/>
      </w:pPr>
    </w:lvl>
    <w:lvl w:ilvl="5" w:tplc="8236C5E8">
      <w:start w:val="1"/>
      <w:numFmt w:val="decimal"/>
      <w:lvlText w:val="%6."/>
      <w:lvlJc w:val="right"/>
      <w:pPr>
        <w:ind w:left="3000" w:hanging="180"/>
      </w:pPr>
    </w:lvl>
    <w:lvl w:ilvl="6" w:tplc="0A305362">
      <w:start w:val="1"/>
      <w:numFmt w:val="decimal"/>
      <w:lvlText w:val="%7."/>
      <w:lvlJc w:val="right"/>
      <w:pPr>
        <w:ind w:left="3500" w:hanging="180"/>
      </w:pPr>
    </w:lvl>
    <w:lvl w:ilvl="7" w:tplc="38904098">
      <w:start w:val="1"/>
      <w:numFmt w:val="decimal"/>
      <w:lvlText w:val="%8."/>
      <w:lvlJc w:val="right"/>
      <w:pPr>
        <w:ind w:left="4000" w:hanging="180"/>
      </w:pPr>
    </w:lvl>
    <w:lvl w:ilvl="8" w:tplc="9916493C">
      <w:start w:val="1"/>
      <w:numFmt w:val="decimal"/>
      <w:lvlText w:val="%9."/>
      <w:lvlJc w:val="right"/>
      <w:pPr>
        <w:ind w:left="4500" w:hanging="180"/>
      </w:pPr>
    </w:lvl>
  </w:abstractNum>
  <w:abstractNum w:abstractNumId="75" w15:restartNumberingAfterBreak="0">
    <w:nsid w:val="6CBA6101"/>
    <w:multiLevelType w:val="hybridMultilevel"/>
    <w:tmpl w:val="53649BEA"/>
    <w:name w:val="CPSNumberingScheme"/>
    <w:lvl w:ilvl="0" w:tplc="D67AA1A8">
      <w:start w:val="1"/>
      <w:numFmt w:val="decimal"/>
      <w:lvlText w:val="%1."/>
      <w:lvlJc w:val="right"/>
      <w:pPr>
        <w:ind w:left="500" w:hanging="180"/>
      </w:pPr>
    </w:lvl>
    <w:lvl w:ilvl="1" w:tplc="4878A21C">
      <w:start w:val="1"/>
      <w:numFmt w:val="decimal"/>
      <w:lvlText w:val="%2."/>
      <w:lvlJc w:val="right"/>
      <w:pPr>
        <w:ind w:left="1000" w:hanging="180"/>
      </w:pPr>
    </w:lvl>
    <w:lvl w:ilvl="2" w:tplc="A742FBF6">
      <w:start w:val="1"/>
      <w:numFmt w:val="decimal"/>
      <w:lvlText w:val="%3."/>
      <w:lvlJc w:val="right"/>
      <w:pPr>
        <w:ind w:left="1500" w:hanging="180"/>
      </w:pPr>
    </w:lvl>
    <w:lvl w:ilvl="3" w:tplc="D5328DB4">
      <w:start w:val="1"/>
      <w:numFmt w:val="decimal"/>
      <w:lvlText w:val="%4."/>
      <w:lvlJc w:val="right"/>
      <w:pPr>
        <w:ind w:left="2000" w:hanging="180"/>
      </w:pPr>
    </w:lvl>
    <w:lvl w:ilvl="4" w:tplc="DA78B878">
      <w:start w:val="1"/>
      <w:numFmt w:val="decimal"/>
      <w:lvlText w:val="%5."/>
      <w:lvlJc w:val="right"/>
      <w:pPr>
        <w:ind w:left="2500" w:hanging="180"/>
      </w:pPr>
    </w:lvl>
    <w:lvl w:ilvl="5" w:tplc="45EC0370">
      <w:start w:val="1"/>
      <w:numFmt w:val="decimal"/>
      <w:lvlText w:val="%6."/>
      <w:lvlJc w:val="right"/>
      <w:pPr>
        <w:ind w:left="3000" w:hanging="180"/>
      </w:pPr>
    </w:lvl>
    <w:lvl w:ilvl="6" w:tplc="189EB61C">
      <w:start w:val="1"/>
      <w:numFmt w:val="decimal"/>
      <w:lvlText w:val="%7."/>
      <w:lvlJc w:val="right"/>
      <w:pPr>
        <w:ind w:left="3500" w:hanging="180"/>
      </w:pPr>
    </w:lvl>
    <w:lvl w:ilvl="7" w:tplc="E2A0BE12">
      <w:start w:val="1"/>
      <w:numFmt w:val="decimal"/>
      <w:lvlText w:val="%8."/>
      <w:lvlJc w:val="right"/>
      <w:pPr>
        <w:ind w:left="4000" w:hanging="180"/>
      </w:pPr>
    </w:lvl>
    <w:lvl w:ilvl="8" w:tplc="3DCADFDC">
      <w:start w:val="1"/>
      <w:numFmt w:val="decimal"/>
      <w:lvlText w:val="%9."/>
      <w:lvlJc w:val="right"/>
      <w:pPr>
        <w:ind w:left="4500" w:hanging="180"/>
      </w:pPr>
    </w:lvl>
  </w:abstractNum>
  <w:abstractNum w:abstractNumId="76" w15:restartNumberingAfterBreak="0">
    <w:nsid w:val="6D757F13"/>
    <w:multiLevelType w:val="hybridMultilevel"/>
    <w:tmpl w:val="B0ECC280"/>
    <w:name w:val="CPSNumberingScheme"/>
    <w:lvl w:ilvl="0" w:tplc="3F6A3358">
      <w:start w:val="1"/>
      <w:numFmt w:val="decimal"/>
      <w:lvlText w:val="%1."/>
      <w:lvlJc w:val="right"/>
      <w:pPr>
        <w:ind w:left="500" w:hanging="180"/>
      </w:pPr>
    </w:lvl>
    <w:lvl w:ilvl="1" w:tplc="35F4525C">
      <w:start w:val="1"/>
      <w:numFmt w:val="decimal"/>
      <w:lvlText w:val="%2."/>
      <w:lvlJc w:val="right"/>
      <w:pPr>
        <w:ind w:left="1000" w:hanging="180"/>
      </w:pPr>
    </w:lvl>
    <w:lvl w:ilvl="2" w:tplc="16287842">
      <w:start w:val="1"/>
      <w:numFmt w:val="decimal"/>
      <w:lvlText w:val="%3."/>
      <w:lvlJc w:val="right"/>
      <w:pPr>
        <w:ind w:left="1500" w:hanging="180"/>
      </w:pPr>
    </w:lvl>
    <w:lvl w:ilvl="3" w:tplc="1C36BF26">
      <w:start w:val="1"/>
      <w:numFmt w:val="decimal"/>
      <w:lvlText w:val="%4."/>
      <w:lvlJc w:val="right"/>
      <w:pPr>
        <w:ind w:left="2000" w:hanging="180"/>
      </w:pPr>
    </w:lvl>
    <w:lvl w:ilvl="4" w:tplc="86B66B34">
      <w:start w:val="1"/>
      <w:numFmt w:val="decimal"/>
      <w:lvlText w:val="%5."/>
      <w:lvlJc w:val="right"/>
      <w:pPr>
        <w:ind w:left="2500" w:hanging="180"/>
      </w:pPr>
    </w:lvl>
    <w:lvl w:ilvl="5" w:tplc="1BF863B6">
      <w:start w:val="1"/>
      <w:numFmt w:val="decimal"/>
      <w:lvlText w:val="%6."/>
      <w:lvlJc w:val="right"/>
      <w:pPr>
        <w:ind w:left="3000" w:hanging="180"/>
      </w:pPr>
    </w:lvl>
    <w:lvl w:ilvl="6" w:tplc="B3B0EB70">
      <w:start w:val="1"/>
      <w:numFmt w:val="decimal"/>
      <w:lvlText w:val="%7."/>
      <w:lvlJc w:val="right"/>
      <w:pPr>
        <w:ind w:left="3500" w:hanging="180"/>
      </w:pPr>
    </w:lvl>
    <w:lvl w:ilvl="7" w:tplc="D5861000">
      <w:start w:val="1"/>
      <w:numFmt w:val="decimal"/>
      <w:lvlText w:val="%8."/>
      <w:lvlJc w:val="right"/>
      <w:pPr>
        <w:ind w:left="4000" w:hanging="180"/>
      </w:pPr>
    </w:lvl>
    <w:lvl w:ilvl="8" w:tplc="100291EA">
      <w:start w:val="1"/>
      <w:numFmt w:val="decimal"/>
      <w:lvlText w:val="%9."/>
      <w:lvlJc w:val="right"/>
      <w:pPr>
        <w:ind w:left="4500" w:hanging="180"/>
      </w:pPr>
    </w:lvl>
  </w:abstractNum>
  <w:abstractNum w:abstractNumId="77" w15:restartNumberingAfterBreak="0">
    <w:nsid w:val="6E7954D0"/>
    <w:multiLevelType w:val="hybridMultilevel"/>
    <w:tmpl w:val="079A0454"/>
    <w:name w:val="CPSNumberingScheme"/>
    <w:lvl w:ilvl="0" w:tplc="65447312">
      <w:start w:val="1"/>
      <w:numFmt w:val="decimal"/>
      <w:lvlText w:val="%1."/>
      <w:lvlJc w:val="right"/>
      <w:pPr>
        <w:ind w:left="500" w:hanging="180"/>
      </w:pPr>
    </w:lvl>
    <w:lvl w:ilvl="1" w:tplc="09125320">
      <w:start w:val="1"/>
      <w:numFmt w:val="decimal"/>
      <w:lvlText w:val="%2."/>
      <w:lvlJc w:val="right"/>
      <w:pPr>
        <w:ind w:left="1000" w:hanging="180"/>
      </w:pPr>
    </w:lvl>
    <w:lvl w:ilvl="2" w:tplc="6FC8A36C">
      <w:start w:val="1"/>
      <w:numFmt w:val="decimal"/>
      <w:lvlText w:val="%3."/>
      <w:lvlJc w:val="right"/>
      <w:pPr>
        <w:ind w:left="1500" w:hanging="180"/>
      </w:pPr>
    </w:lvl>
    <w:lvl w:ilvl="3" w:tplc="004E10A4">
      <w:start w:val="1"/>
      <w:numFmt w:val="decimal"/>
      <w:lvlText w:val="%4."/>
      <w:lvlJc w:val="right"/>
      <w:pPr>
        <w:ind w:left="2000" w:hanging="180"/>
      </w:pPr>
    </w:lvl>
    <w:lvl w:ilvl="4" w:tplc="E2BCE73C">
      <w:start w:val="1"/>
      <w:numFmt w:val="decimal"/>
      <w:lvlText w:val="%5."/>
      <w:lvlJc w:val="right"/>
      <w:pPr>
        <w:ind w:left="2500" w:hanging="180"/>
      </w:pPr>
    </w:lvl>
    <w:lvl w:ilvl="5" w:tplc="871CBA1C">
      <w:start w:val="1"/>
      <w:numFmt w:val="decimal"/>
      <w:lvlText w:val="%6."/>
      <w:lvlJc w:val="right"/>
      <w:pPr>
        <w:ind w:left="3000" w:hanging="180"/>
      </w:pPr>
    </w:lvl>
    <w:lvl w:ilvl="6" w:tplc="448AD8E0">
      <w:start w:val="1"/>
      <w:numFmt w:val="decimal"/>
      <w:lvlText w:val="%7."/>
      <w:lvlJc w:val="right"/>
      <w:pPr>
        <w:ind w:left="3500" w:hanging="180"/>
      </w:pPr>
    </w:lvl>
    <w:lvl w:ilvl="7" w:tplc="8A0ED4E8">
      <w:start w:val="1"/>
      <w:numFmt w:val="decimal"/>
      <w:lvlText w:val="%8."/>
      <w:lvlJc w:val="right"/>
      <w:pPr>
        <w:ind w:left="4000" w:hanging="180"/>
      </w:pPr>
    </w:lvl>
    <w:lvl w:ilvl="8" w:tplc="42EA64EE">
      <w:start w:val="1"/>
      <w:numFmt w:val="decimal"/>
      <w:lvlText w:val="%9."/>
      <w:lvlJc w:val="right"/>
      <w:pPr>
        <w:ind w:left="4500" w:hanging="180"/>
      </w:pPr>
    </w:lvl>
  </w:abstractNum>
  <w:abstractNum w:abstractNumId="78" w15:restartNumberingAfterBreak="0">
    <w:nsid w:val="725902A7"/>
    <w:multiLevelType w:val="hybridMultilevel"/>
    <w:tmpl w:val="DFFEB466"/>
    <w:name w:val="CPSNumberingScheme"/>
    <w:lvl w:ilvl="0" w:tplc="5B1A8822">
      <w:start w:val="1"/>
      <w:numFmt w:val="decimal"/>
      <w:lvlText w:val="%1."/>
      <w:lvlJc w:val="right"/>
      <w:pPr>
        <w:ind w:left="500" w:hanging="180"/>
      </w:pPr>
    </w:lvl>
    <w:lvl w:ilvl="1" w:tplc="E0C0E8E0">
      <w:start w:val="1"/>
      <w:numFmt w:val="decimal"/>
      <w:lvlText w:val="%2."/>
      <w:lvlJc w:val="right"/>
      <w:pPr>
        <w:ind w:left="1000" w:hanging="180"/>
      </w:pPr>
    </w:lvl>
    <w:lvl w:ilvl="2" w:tplc="A15E1720">
      <w:start w:val="1"/>
      <w:numFmt w:val="decimal"/>
      <w:lvlText w:val="%3."/>
      <w:lvlJc w:val="right"/>
      <w:pPr>
        <w:ind w:left="1500" w:hanging="180"/>
      </w:pPr>
    </w:lvl>
    <w:lvl w:ilvl="3" w:tplc="664CDB94">
      <w:start w:val="1"/>
      <w:numFmt w:val="decimal"/>
      <w:lvlText w:val="%4."/>
      <w:lvlJc w:val="right"/>
      <w:pPr>
        <w:ind w:left="2000" w:hanging="180"/>
      </w:pPr>
    </w:lvl>
    <w:lvl w:ilvl="4" w:tplc="77567AB2">
      <w:start w:val="1"/>
      <w:numFmt w:val="decimal"/>
      <w:lvlText w:val="%5."/>
      <w:lvlJc w:val="right"/>
      <w:pPr>
        <w:ind w:left="2500" w:hanging="180"/>
      </w:pPr>
    </w:lvl>
    <w:lvl w:ilvl="5" w:tplc="8CDEB454">
      <w:start w:val="1"/>
      <w:numFmt w:val="decimal"/>
      <w:lvlText w:val="%6."/>
      <w:lvlJc w:val="right"/>
      <w:pPr>
        <w:ind w:left="3000" w:hanging="180"/>
      </w:pPr>
    </w:lvl>
    <w:lvl w:ilvl="6" w:tplc="AA18E9AC">
      <w:start w:val="1"/>
      <w:numFmt w:val="decimal"/>
      <w:lvlText w:val="%7."/>
      <w:lvlJc w:val="right"/>
      <w:pPr>
        <w:ind w:left="3500" w:hanging="180"/>
      </w:pPr>
    </w:lvl>
    <w:lvl w:ilvl="7" w:tplc="ED5EBE7E">
      <w:start w:val="1"/>
      <w:numFmt w:val="decimal"/>
      <w:lvlText w:val="%8."/>
      <w:lvlJc w:val="right"/>
      <w:pPr>
        <w:ind w:left="4000" w:hanging="180"/>
      </w:pPr>
    </w:lvl>
    <w:lvl w:ilvl="8" w:tplc="70700BB8">
      <w:start w:val="1"/>
      <w:numFmt w:val="decimal"/>
      <w:lvlText w:val="%9."/>
      <w:lvlJc w:val="right"/>
      <w:pPr>
        <w:ind w:left="4500" w:hanging="180"/>
      </w:pPr>
    </w:lvl>
  </w:abstractNum>
  <w:abstractNum w:abstractNumId="79" w15:restartNumberingAfterBreak="0">
    <w:nsid w:val="7307179E"/>
    <w:multiLevelType w:val="hybridMultilevel"/>
    <w:tmpl w:val="62D2AE96"/>
    <w:name w:val="CPSNumberingScheme"/>
    <w:lvl w:ilvl="0" w:tplc="2850CF78">
      <w:start w:val="1"/>
      <w:numFmt w:val="decimal"/>
      <w:lvlText w:val="%1."/>
      <w:lvlJc w:val="right"/>
      <w:pPr>
        <w:ind w:left="500" w:hanging="180"/>
      </w:pPr>
    </w:lvl>
    <w:lvl w:ilvl="1" w:tplc="B7CE0380">
      <w:start w:val="1"/>
      <w:numFmt w:val="decimal"/>
      <w:lvlText w:val="%2."/>
      <w:lvlJc w:val="right"/>
      <w:pPr>
        <w:ind w:left="1000" w:hanging="180"/>
      </w:pPr>
    </w:lvl>
    <w:lvl w:ilvl="2" w:tplc="AB8C9BA4">
      <w:start w:val="1"/>
      <w:numFmt w:val="decimal"/>
      <w:lvlText w:val="%3."/>
      <w:lvlJc w:val="right"/>
      <w:pPr>
        <w:ind w:left="1500" w:hanging="180"/>
      </w:pPr>
    </w:lvl>
    <w:lvl w:ilvl="3" w:tplc="63A4E142">
      <w:start w:val="1"/>
      <w:numFmt w:val="decimal"/>
      <w:lvlText w:val="%4."/>
      <w:lvlJc w:val="right"/>
      <w:pPr>
        <w:ind w:left="2000" w:hanging="180"/>
      </w:pPr>
    </w:lvl>
    <w:lvl w:ilvl="4" w:tplc="6374E022">
      <w:start w:val="1"/>
      <w:numFmt w:val="decimal"/>
      <w:lvlText w:val="%5."/>
      <w:lvlJc w:val="right"/>
      <w:pPr>
        <w:ind w:left="2500" w:hanging="180"/>
      </w:pPr>
    </w:lvl>
    <w:lvl w:ilvl="5" w:tplc="338AC47C">
      <w:start w:val="1"/>
      <w:numFmt w:val="decimal"/>
      <w:lvlText w:val="%6."/>
      <w:lvlJc w:val="right"/>
      <w:pPr>
        <w:ind w:left="3000" w:hanging="180"/>
      </w:pPr>
    </w:lvl>
    <w:lvl w:ilvl="6" w:tplc="6A96533C">
      <w:start w:val="1"/>
      <w:numFmt w:val="decimal"/>
      <w:lvlText w:val="%7."/>
      <w:lvlJc w:val="right"/>
      <w:pPr>
        <w:ind w:left="3500" w:hanging="180"/>
      </w:pPr>
    </w:lvl>
    <w:lvl w:ilvl="7" w:tplc="8A265DA2">
      <w:start w:val="1"/>
      <w:numFmt w:val="decimal"/>
      <w:lvlText w:val="%8."/>
      <w:lvlJc w:val="right"/>
      <w:pPr>
        <w:ind w:left="4000" w:hanging="180"/>
      </w:pPr>
    </w:lvl>
    <w:lvl w:ilvl="8" w:tplc="A880D850">
      <w:start w:val="1"/>
      <w:numFmt w:val="decimal"/>
      <w:lvlText w:val="%9."/>
      <w:lvlJc w:val="right"/>
      <w:pPr>
        <w:ind w:left="4500" w:hanging="180"/>
      </w:pPr>
    </w:lvl>
  </w:abstractNum>
  <w:abstractNum w:abstractNumId="80" w15:restartNumberingAfterBreak="0">
    <w:nsid w:val="74146E07"/>
    <w:multiLevelType w:val="hybridMultilevel"/>
    <w:tmpl w:val="C8A4CD54"/>
    <w:lvl w:ilvl="0" w:tplc="E786B0D0">
      <w:start w:val="1"/>
      <w:numFmt w:val="bullet"/>
      <w:lvlText w:val=""/>
      <w:lvlJc w:val="left"/>
      <w:pPr>
        <w:ind w:left="720" w:hanging="360"/>
      </w:pPr>
      <w:rPr>
        <w:rFonts w:ascii="Symbol" w:hAnsi="Symbol" w:hint="default"/>
      </w:rPr>
    </w:lvl>
    <w:lvl w:ilvl="1" w:tplc="C69A8960">
      <w:start w:val="1"/>
      <w:numFmt w:val="bullet"/>
      <w:pStyle w:val="BulletParagraphLevel2"/>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4147EB4"/>
    <w:multiLevelType w:val="hybridMultilevel"/>
    <w:tmpl w:val="2A8240EE"/>
    <w:name w:val="CPSNumberingScheme"/>
    <w:lvl w:ilvl="0" w:tplc="5C8CE5FC">
      <w:start w:val="1"/>
      <w:numFmt w:val="decimal"/>
      <w:lvlText w:val="%1."/>
      <w:lvlJc w:val="right"/>
      <w:pPr>
        <w:ind w:left="500" w:hanging="180"/>
      </w:pPr>
    </w:lvl>
    <w:lvl w:ilvl="1" w:tplc="9648CFD4">
      <w:start w:val="1"/>
      <w:numFmt w:val="decimal"/>
      <w:lvlText w:val="%2."/>
      <w:lvlJc w:val="right"/>
      <w:pPr>
        <w:ind w:left="1000" w:hanging="180"/>
      </w:pPr>
    </w:lvl>
    <w:lvl w:ilvl="2" w:tplc="83AE3278">
      <w:start w:val="1"/>
      <w:numFmt w:val="decimal"/>
      <w:lvlText w:val="%3."/>
      <w:lvlJc w:val="right"/>
      <w:pPr>
        <w:ind w:left="1500" w:hanging="180"/>
      </w:pPr>
    </w:lvl>
    <w:lvl w:ilvl="3" w:tplc="98381A24">
      <w:start w:val="1"/>
      <w:numFmt w:val="decimal"/>
      <w:lvlText w:val="%4."/>
      <w:lvlJc w:val="right"/>
      <w:pPr>
        <w:ind w:left="2000" w:hanging="180"/>
      </w:pPr>
    </w:lvl>
    <w:lvl w:ilvl="4" w:tplc="3A624EEC">
      <w:start w:val="1"/>
      <w:numFmt w:val="decimal"/>
      <w:lvlText w:val="%5."/>
      <w:lvlJc w:val="right"/>
      <w:pPr>
        <w:ind w:left="2500" w:hanging="180"/>
      </w:pPr>
    </w:lvl>
    <w:lvl w:ilvl="5" w:tplc="1D00CE74">
      <w:start w:val="1"/>
      <w:numFmt w:val="decimal"/>
      <w:lvlText w:val="%6."/>
      <w:lvlJc w:val="right"/>
      <w:pPr>
        <w:ind w:left="3000" w:hanging="180"/>
      </w:pPr>
    </w:lvl>
    <w:lvl w:ilvl="6" w:tplc="C28E7524">
      <w:start w:val="1"/>
      <w:numFmt w:val="decimal"/>
      <w:lvlText w:val="%7."/>
      <w:lvlJc w:val="right"/>
      <w:pPr>
        <w:ind w:left="3500" w:hanging="180"/>
      </w:pPr>
    </w:lvl>
    <w:lvl w:ilvl="7" w:tplc="66EAAD3C">
      <w:start w:val="1"/>
      <w:numFmt w:val="decimal"/>
      <w:lvlText w:val="%8."/>
      <w:lvlJc w:val="right"/>
      <w:pPr>
        <w:ind w:left="4000" w:hanging="180"/>
      </w:pPr>
    </w:lvl>
    <w:lvl w:ilvl="8" w:tplc="8A44B42E">
      <w:start w:val="1"/>
      <w:numFmt w:val="decimal"/>
      <w:lvlText w:val="%9."/>
      <w:lvlJc w:val="right"/>
      <w:pPr>
        <w:ind w:left="4500" w:hanging="180"/>
      </w:pPr>
    </w:lvl>
  </w:abstractNum>
  <w:abstractNum w:abstractNumId="82" w15:restartNumberingAfterBreak="0">
    <w:nsid w:val="77E5616B"/>
    <w:multiLevelType w:val="hybridMultilevel"/>
    <w:tmpl w:val="11F65CC2"/>
    <w:name w:val="CPSNumberingScheme"/>
    <w:lvl w:ilvl="0" w:tplc="0C60296E">
      <w:start w:val="1"/>
      <w:numFmt w:val="decimal"/>
      <w:lvlText w:val="%1."/>
      <w:lvlJc w:val="right"/>
      <w:pPr>
        <w:ind w:left="500" w:hanging="180"/>
      </w:pPr>
    </w:lvl>
    <w:lvl w:ilvl="1" w:tplc="CC9068F6">
      <w:start w:val="1"/>
      <w:numFmt w:val="decimal"/>
      <w:lvlText w:val="%2."/>
      <w:lvlJc w:val="right"/>
      <w:pPr>
        <w:ind w:left="1000" w:hanging="180"/>
      </w:pPr>
    </w:lvl>
    <w:lvl w:ilvl="2" w:tplc="19A0552C">
      <w:start w:val="1"/>
      <w:numFmt w:val="decimal"/>
      <w:lvlText w:val="%3."/>
      <w:lvlJc w:val="right"/>
      <w:pPr>
        <w:ind w:left="1500" w:hanging="180"/>
      </w:pPr>
    </w:lvl>
    <w:lvl w:ilvl="3" w:tplc="E77E863E">
      <w:start w:val="1"/>
      <w:numFmt w:val="decimal"/>
      <w:lvlText w:val="%4."/>
      <w:lvlJc w:val="right"/>
      <w:pPr>
        <w:ind w:left="2000" w:hanging="180"/>
      </w:pPr>
    </w:lvl>
    <w:lvl w:ilvl="4" w:tplc="8C54E394">
      <w:start w:val="1"/>
      <w:numFmt w:val="decimal"/>
      <w:lvlText w:val="%5."/>
      <w:lvlJc w:val="right"/>
      <w:pPr>
        <w:ind w:left="2500" w:hanging="180"/>
      </w:pPr>
    </w:lvl>
    <w:lvl w:ilvl="5" w:tplc="5D2CF4AA">
      <w:start w:val="1"/>
      <w:numFmt w:val="decimal"/>
      <w:lvlText w:val="%6."/>
      <w:lvlJc w:val="right"/>
      <w:pPr>
        <w:ind w:left="3000" w:hanging="180"/>
      </w:pPr>
    </w:lvl>
    <w:lvl w:ilvl="6" w:tplc="BDE230BA">
      <w:start w:val="1"/>
      <w:numFmt w:val="decimal"/>
      <w:lvlText w:val="%7."/>
      <w:lvlJc w:val="right"/>
      <w:pPr>
        <w:ind w:left="3500" w:hanging="180"/>
      </w:pPr>
    </w:lvl>
    <w:lvl w:ilvl="7" w:tplc="A4DC3E30">
      <w:start w:val="1"/>
      <w:numFmt w:val="decimal"/>
      <w:lvlText w:val="%8."/>
      <w:lvlJc w:val="right"/>
      <w:pPr>
        <w:ind w:left="4000" w:hanging="180"/>
      </w:pPr>
    </w:lvl>
    <w:lvl w:ilvl="8" w:tplc="025CEB74">
      <w:start w:val="1"/>
      <w:numFmt w:val="decimal"/>
      <w:lvlText w:val="%9."/>
      <w:lvlJc w:val="right"/>
      <w:pPr>
        <w:ind w:left="4500" w:hanging="180"/>
      </w:pPr>
    </w:lvl>
  </w:abstractNum>
  <w:abstractNum w:abstractNumId="83" w15:restartNumberingAfterBreak="0">
    <w:nsid w:val="796908F4"/>
    <w:multiLevelType w:val="hybridMultilevel"/>
    <w:tmpl w:val="7238680E"/>
    <w:name w:val="CPSNumberingScheme"/>
    <w:lvl w:ilvl="0" w:tplc="68BA2792">
      <w:start w:val="1"/>
      <w:numFmt w:val="decimal"/>
      <w:lvlText w:val="%1."/>
      <w:lvlJc w:val="right"/>
      <w:pPr>
        <w:ind w:left="500" w:hanging="180"/>
      </w:pPr>
    </w:lvl>
    <w:lvl w:ilvl="1" w:tplc="6786FF34">
      <w:start w:val="1"/>
      <w:numFmt w:val="decimal"/>
      <w:lvlText w:val="%2."/>
      <w:lvlJc w:val="right"/>
      <w:pPr>
        <w:ind w:left="1000" w:hanging="180"/>
      </w:pPr>
    </w:lvl>
    <w:lvl w:ilvl="2" w:tplc="1CB6B148">
      <w:start w:val="1"/>
      <w:numFmt w:val="decimal"/>
      <w:lvlText w:val="%3."/>
      <w:lvlJc w:val="right"/>
      <w:pPr>
        <w:ind w:left="1500" w:hanging="180"/>
      </w:pPr>
    </w:lvl>
    <w:lvl w:ilvl="3" w:tplc="C66E11CA">
      <w:start w:val="1"/>
      <w:numFmt w:val="decimal"/>
      <w:lvlText w:val="%4."/>
      <w:lvlJc w:val="right"/>
      <w:pPr>
        <w:ind w:left="2000" w:hanging="180"/>
      </w:pPr>
    </w:lvl>
    <w:lvl w:ilvl="4" w:tplc="BB0EA826">
      <w:start w:val="1"/>
      <w:numFmt w:val="decimal"/>
      <w:lvlText w:val="%5."/>
      <w:lvlJc w:val="right"/>
      <w:pPr>
        <w:ind w:left="2500" w:hanging="180"/>
      </w:pPr>
    </w:lvl>
    <w:lvl w:ilvl="5" w:tplc="22CA258E">
      <w:start w:val="1"/>
      <w:numFmt w:val="decimal"/>
      <w:lvlText w:val="%6."/>
      <w:lvlJc w:val="right"/>
      <w:pPr>
        <w:ind w:left="3000" w:hanging="180"/>
      </w:pPr>
    </w:lvl>
    <w:lvl w:ilvl="6" w:tplc="041AAE9E">
      <w:start w:val="1"/>
      <w:numFmt w:val="decimal"/>
      <w:lvlText w:val="%7."/>
      <w:lvlJc w:val="right"/>
      <w:pPr>
        <w:ind w:left="3500" w:hanging="180"/>
      </w:pPr>
    </w:lvl>
    <w:lvl w:ilvl="7" w:tplc="93246936">
      <w:start w:val="1"/>
      <w:numFmt w:val="decimal"/>
      <w:lvlText w:val="%8."/>
      <w:lvlJc w:val="right"/>
      <w:pPr>
        <w:ind w:left="4000" w:hanging="180"/>
      </w:pPr>
    </w:lvl>
    <w:lvl w:ilvl="8" w:tplc="C06A5092">
      <w:start w:val="1"/>
      <w:numFmt w:val="decimal"/>
      <w:lvlText w:val="%9."/>
      <w:lvlJc w:val="right"/>
      <w:pPr>
        <w:ind w:left="4500" w:hanging="180"/>
      </w:pPr>
    </w:lvl>
  </w:abstractNum>
  <w:abstractNum w:abstractNumId="84" w15:restartNumberingAfterBreak="0">
    <w:nsid w:val="7BEE3EB5"/>
    <w:multiLevelType w:val="hybridMultilevel"/>
    <w:tmpl w:val="B86449C6"/>
    <w:name w:val="CPSNumberingScheme"/>
    <w:lvl w:ilvl="0" w:tplc="B468ACB6">
      <w:start w:val="1"/>
      <w:numFmt w:val="decimal"/>
      <w:lvlText w:val="%1."/>
      <w:lvlJc w:val="right"/>
      <w:pPr>
        <w:ind w:left="500" w:hanging="180"/>
      </w:pPr>
    </w:lvl>
    <w:lvl w:ilvl="1" w:tplc="355EE62A">
      <w:start w:val="1"/>
      <w:numFmt w:val="decimal"/>
      <w:lvlText w:val="%2."/>
      <w:lvlJc w:val="right"/>
      <w:pPr>
        <w:ind w:left="1000" w:hanging="180"/>
      </w:pPr>
    </w:lvl>
    <w:lvl w:ilvl="2" w:tplc="6F0C7E50">
      <w:start w:val="1"/>
      <w:numFmt w:val="decimal"/>
      <w:lvlText w:val="%3."/>
      <w:lvlJc w:val="right"/>
      <w:pPr>
        <w:ind w:left="1500" w:hanging="180"/>
      </w:pPr>
    </w:lvl>
    <w:lvl w:ilvl="3" w:tplc="68AACE2A">
      <w:start w:val="1"/>
      <w:numFmt w:val="decimal"/>
      <w:lvlText w:val="%4."/>
      <w:lvlJc w:val="right"/>
      <w:pPr>
        <w:ind w:left="2000" w:hanging="180"/>
      </w:pPr>
    </w:lvl>
    <w:lvl w:ilvl="4" w:tplc="AEE65C5A">
      <w:start w:val="1"/>
      <w:numFmt w:val="decimal"/>
      <w:lvlText w:val="%5."/>
      <w:lvlJc w:val="right"/>
      <w:pPr>
        <w:ind w:left="2500" w:hanging="180"/>
      </w:pPr>
    </w:lvl>
    <w:lvl w:ilvl="5" w:tplc="57F608A0">
      <w:start w:val="1"/>
      <w:numFmt w:val="decimal"/>
      <w:lvlText w:val="%6."/>
      <w:lvlJc w:val="right"/>
      <w:pPr>
        <w:ind w:left="3000" w:hanging="180"/>
      </w:pPr>
    </w:lvl>
    <w:lvl w:ilvl="6" w:tplc="599637F6">
      <w:start w:val="1"/>
      <w:numFmt w:val="decimal"/>
      <w:lvlText w:val="%7."/>
      <w:lvlJc w:val="right"/>
      <w:pPr>
        <w:ind w:left="3500" w:hanging="180"/>
      </w:pPr>
    </w:lvl>
    <w:lvl w:ilvl="7" w:tplc="55A87F2C">
      <w:start w:val="1"/>
      <w:numFmt w:val="decimal"/>
      <w:lvlText w:val="%8."/>
      <w:lvlJc w:val="right"/>
      <w:pPr>
        <w:ind w:left="4000" w:hanging="180"/>
      </w:pPr>
    </w:lvl>
    <w:lvl w:ilvl="8" w:tplc="3564AB66">
      <w:start w:val="1"/>
      <w:numFmt w:val="decimal"/>
      <w:lvlText w:val="%9."/>
      <w:lvlJc w:val="right"/>
      <w:pPr>
        <w:ind w:left="4500" w:hanging="180"/>
      </w:pPr>
    </w:lvl>
  </w:abstractNum>
  <w:abstractNum w:abstractNumId="85" w15:restartNumberingAfterBreak="0">
    <w:nsid w:val="7D09229D"/>
    <w:multiLevelType w:val="hybridMultilevel"/>
    <w:tmpl w:val="410AA2BE"/>
    <w:name w:val="CPSNumberingScheme"/>
    <w:lvl w:ilvl="0" w:tplc="F8B61F0A">
      <w:start w:val="1"/>
      <w:numFmt w:val="decimal"/>
      <w:lvlText w:val="%1."/>
      <w:lvlJc w:val="right"/>
      <w:pPr>
        <w:ind w:left="500" w:hanging="180"/>
      </w:pPr>
    </w:lvl>
    <w:lvl w:ilvl="1" w:tplc="39DCFAF4">
      <w:start w:val="1"/>
      <w:numFmt w:val="decimal"/>
      <w:lvlText w:val="%2."/>
      <w:lvlJc w:val="right"/>
      <w:pPr>
        <w:ind w:left="1000" w:hanging="180"/>
      </w:pPr>
    </w:lvl>
    <w:lvl w:ilvl="2" w:tplc="19701CEE">
      <w:start w:val="1"/>
      <w:numFmt w:val="decimal"/>
      <w:lvlText w:val="%3."/>
      <w:lvlJc w:val="right"/>
      <w:pPr>
        <w:ind w:left="1500" w:hanging="180"/>
      </w:pPr>
    </w:lvl>
    <w:lvl w:ilvl="3" w:tplc="26641C9C">
      <w:start w:val="1"/>
      <w:numFmt w:val="decimal"/>
      <w:lvlText w:val="%4."/>
      <w:lvlJc w:val="right"/>
      <w:pPr>
        <w:ind w:left="2000" w:hanging="180"/>
      </w:pPr>
    </w:lvl>
    <w:lvl w:ilvl="4" w:tplc="D32494FE">
      <w:start w:val="1"/>
      <w:numFmt w:val="decimal"/>
      <w:lvlText w:val="%5."/>
      <w:lvlJc w:val="right"/>
      <w:pPr>
        <w:ind w:left="2500" w:hanging="180"/>
      </w:pPr>
    </w:lvl>
    <w:lvl w:ilvl="5" w:tplc="508C7942">
      <w:start w:val="1"/>
      <w:numFmt w:val="decimal"/>
      <w:lvlText w:val="%6."/>
      <w:lvlJc w:val="right"/>
      <w:pPr>
        <w:ind w:left="3000" w:hanging="180"/>
      </w:pPr>
    </w:lvl>
    <w:lvl w:ilvl="6" w:tplc="75385844">
      <w:start w:val="1"/>
      <w:numFmt w:val="decimal"/>
      <w:lvlText w:val="%7."/>
      <w:lvlJc w:val="right"/>
      <w:pPr>
        <w:ind w:left="3500" w:hanging="180"/>
      </w:pPr>
    </w:lvl>
    <w:lvl w:ilvl="7" w:tplc="BB62409E">
      <w:start w:val="1"/>
      <w:numFmt w:val="decimal"/>
      <w:lvlText w:val="%8."/>
      <w:lvlJc w:val="right"/>
      <w:pPr>
        <w:ind w:left="4000" w:hanging="180"/>
      </w:pPr>
    </w:lvl>
    <w:lvl w:ilvl="8" w:tplc="4B102B6E">
      <w:start w:val="1"/>
      <w:numFmt w:val="decimal"/>
      <w:lvlText w:val="%9."/>
      <w:lvlJc w:val="right"/>
      <w:pPr>
        <w:ind w:left="4500" w:hanging="180"/>
      </w:pPr>
    </w:lvl>
  </w:abstractNum>
  <w:abstractNum w:abstractNumId="86" w15:restartNumberingAfterBreak="0">
    <w:nsid w:val="7E4D16A5"/>
    <w:multiLevelType w:val="hybridMultilevel"/>
    <w:tmpl w:val="CED0AB1C"/>
    <w:name w:val="CPSNumberingScheme"/>
    <w:lvl w:ilvl="0" w:tplc="F79A5F6E">
      <w:start w:val="1"/>
      <w:numFmt w:val="decimal"/>
      <w:lvlText w:val="%1."/>
      <w:lvlJc w:val="right"/>
      <w:pPr>
        <w:ind w:left="500" w:hanging="180"/>
      </w:pPr>
    </w:lvl>
    <w:lvl w:ilvl="1" w:tplc="590A3BBC">
      <w:start w:val="1"/>
      <w:numFmt w:val="decimal"/>
      <w:lvlText w:val="%2."/>
      <w:lvlJc w:val="right"/>
      <w:pPr>
        <w:ind w:left="1000" w:hanging="180"/>
      </w:pPr>
    </w:lvl>
    <w:lvl w:ilvl="2" w:tplc="E892C0DE">
      <w:start w:val="1"/>
      <w:numFmt w:val="decimal"/>
      <w:lvlText w:val="%3."/>
      <w:lvlJc w:val="right"/>
      <w:pPr>
        <w:ind w:left="1500" w:hanging="180"/>
      </w:pPr>
    </w:lvl>
    <w:lvl w:ilvl="3" w:tplc="7CE6083E">
      <w:start w:val="1"/>
      <w:numFmt w:val="decimal"/>
      <w:lvlText w:val="%4."/>
      <w:lvlJc w:val="right"/>
      <w:pPr>
        <w:ind w:left="2000" w:hanging="180"/>
      </w:pPr>
    </w:lvl>
    <w:lvl w:ilvl="4" w:tplc="82E89CB0">
      <w:start w:val="1"/>
      <w:numFmt w:val="decimal"/>
      <w:lvlText w:val="%5."/>
      <w:lvlJc w:val="right"/>
      <w:pPr>
        <w:ind w:left="2500" w:hanging="180"/>
      </w:pPr>
    </w:lvl>
    <w:lvl w:ilvl="5" w:tplc="A3522CB8">
      <w:start w:val="1"/>
      <w:numFmt w:val="decimal"/>
      <w:lvlText w:val="%6."/>
      <w:lvlJc w:val="right"/>
      <w:pPr>
        <w:ind w:left="3000" w:hanging="180"/>
      </w:pPr>
    </w:lvl>
    <w:lvl w:ilvl="6" w:tplc="07940428">
      <w:start w:val="1"/>
      <w:numFmt w:val="decimal"/>
      <w:lvlText w:val="%7."/>
      <w:lvlJc w:val="right"/>
      <w:pPr>
        <w:ind w:left="3500" w:hanging="180"/>
      </w:pPr>
    </w:lvl>
    <w:lvl w:ilvl="7" w:tplc="EB5CB6B4">
      <w:start w:val="1"/>
      <w:numFmt w:val="decimal"/>
      <w:lvlText w:val="%8."/>
      <w:lvlJc w:val="right"/>
      <w:pPr>
        <w:ind w:left="4000" w:hanging="180"/>
      </w:pPr>
    </w:lvl>
    <w:lvl w:ilvl="8" w:tplc="B922D7A2">
      <w:start w:val="1"/>
      <w:numFmt w:val="decimal"/>
      <w:lvlText w:val="%9."/>
      <w:lvlJc w:val="right"/>
      <w:pPr>
        <w:ind w:left="4500" w:hanging="180"/>
      </w:pPr>
    </w:lvl>
  </w:abstractNum>
  <w:num w:numId="1" w16cid:durableId="893858643">
    <w:abstractNumId w:val="13"/>
  </w:num>
  <w:num w:numId="2" w16cid:durableId="1260986115">
    <w:abstractNumId w:val="80"/>
  </w:num>
  <w:num w:numId="3" w16cid:durableId="128010684">
    <w:abstractNumId w:val="56"/>
  </w:num>
  <w:num w:numId="4" w16cid:durableId="175770373">
    <w:abstractNumId w:val="3"/>
  </w:num>
  <w:num w:numId="5" w16cid:durableId="824315846">
    <w:abstractNumId w:val="74"/>
  </w:num>
  <w:num w:numId="6" w16cid:durableId="1808401324">
    <w:abstractNumId w:val="26"/>
    <w:lvlOverride w:ilvl="0">
      <w:startOverride w:val="1"/>
      <w:lvl w:ilvl="0" w:tplc="A822BA36">
        <w:start w:val="1"/>
        <w:numFmt w:val="bullet"/>
        <w:lvlText w:val=""/>
        <w:lvlJc w:val="right"/>
        <w:pPr>
          <w:ind w:left="500" w:hanging="180"/>
        </w:pPr>
        <w:rPr>
          <w:rFonts w:ascii="Symbol" w:hAnsi="Symbol" w:hint="default"/>
        </w:rPr>
      </w:lvl>
    </w:lvlOverride>
    <w:lvlOverride w:ilvl="1">
      <w:startOverride w:val="1"/>
      <w:lvl w:ilvl="1" w:tplc="1F66EDF6">
        <w:start w:val="1"/>
        <w:numFmt w:val="decimal"/>
        <w:lvlText w:val="%2."/>
        <w:lvlJc w:val="right"/>
        <w:pPr>
          <w:ind w:left="1000" w:hanging="180"/>
        </w:pPr>
      </w:lvl>
    </w:lvlOverride>
    <w:lvlOverride w:ilvl="2">
      <w:startOverride w:val="1"/>
      <w:lvl w:ilvl="2" w:tplc="B5C01C46">
        <w:start w:val="1"/>
        <w:numFmt w:val="decimal"/>
        <w:lvlText w:val="%3."/>
        <w:lvlJc w:val="right"/>
        <w:pPr>
          <w:ind w:left="1500" w:hanging="180"/>
        </w:pPr>
      </w:lvl>
    </w:lvlOverride>
    <w:lvlOverride w:ilvl="3">
      <w:startOverride w:val="1"/>
      <w:lvl w:ilvl="3" w:tplc="1B201ACA">
        <w:start w:val="1"/>
        <w:numFmt w:val="decimal"/>
        <w:lvlText w:val="%4."/>
        <w:lvlJc w:val="right"/>
        <w:pPr>
          <w:ind w:left="2000" w:hanging="180"/>
        </w:pPr>
      </w:lvl>
    </w:lvlOverride>
    <w:lvlOverride w:ilvl="4">
      <w:startOverride w:val="1"/>
      <w:lvl w:ilvl="4" w:tplc="219CCDAA">
        <w:start w:val="1"/>
        <w:numFmt w:val="decimal"/>
        <w:lvlText w:val="%5."/>
        <w:lvlJc w:val="right"/>
        <w:pPr>
          <w:ind w:left="2500" w:hanging="180"/>
        </w:pPr>
      </w:lvl>
    </w:lvlOverride>
    <w:lvlOverride w:ilvl="5">
      <w:startOverride w:val="1"/>
      <w:lvl w:ilvl="5" w:tplc="69AA23DA">
        <w:start w:val="1"/>
        <w:numFmt w:val="decimal"/>
        <w:lvlText w:val="%6."/>
        <w:lvlJc w:val="right"/>
        <w:pPr>
          <w:ind w:left="3000" w:hanging="180"/>
        </w:pPr>
      </w:lvl>
    </w:lvlOverride>
    <w:lvlOverride w:ilvl="6">
      <w:startOverride w:val="1"/>
      <w:lvl w:ilvl="6" w:tplc="D7F2D978">
        <w:start w:val="1"/>
        <w:numFmt w:val="decimal"/>
        <w:lvlText w:val="%7."/>
        <w:lvlJc w:val="right"/>
        <w:pPr>
          <w:ind w:left="3500" w:hanging="180"/>
        </w:pPr>
      </w:lvl>
    </w:lvlOverride>
    <w:lvlOverride w:ilvl="7">
      <w:startOverride w:val="1"/>
      <w:lvl w:ilvl="7" w:tplc="67AA7B94">
        <w:start w:val="1"/>
        <w:numFmt w:val="decimal"/>
        <w:lvlText w:val="%8."/>
        <w:lvlJc w:val="right"/>
        <w:pPr>
          <w:ind w:left="4000" w:hanging="180"/>
        </w:pPr>
      </w:lvl>
    </w:lvlOverride>
    <w:lvlOverride w:ilvl="8">
      <w:startOverride w:val="1"/>
      <w:lvl w:ilvl="8" w:tplc="56A468D0">
        <w:start w:val="1"/>
        <w:numFmt w:val="decimal"/>
        <w:lvlText w:val="%9."/>
        <w:lvlJc w:val="right"/>
        <w:pPr>
          <w:ind w:left="4500" w:hanging="180"/>
        </w:pPr>
      </w:lvl>
    </w:lvlOverride>
  </w:num>
  <w:num w:numId="7" w16cid:durableId="1363357050">
    <w:abstractNumId w:val="34"/>
    <w:lvlOverride w:ilvl="0">
      <w:startOverride w:val="1"/>
      <w:lvl w:ilvl="0" w:tplc="2550E25A">
        <w:start w:val="1"/>
        <w:numFmt w:val="bullet"/>
        <w:lvlText w:val=""/>
        <w:lvlJc w:val="right"/>
        <w:pPr>
          <w:ind w:left="500" w:hanging="180"/>
        </w:pPr>
        <w:rPr>
          <w:rFonts w:ascii="Symbol" w:hAnsi="Symbol" w:hint="default"/>
        </w:rPr>
      </w:lvl>
    </w:lvlOverride>
    <w:lvlOverride w:ilvl="1">
      <w:startOverride w:val="1"/>
      <w:lvl w:ilvl="1" w:tplc="325C7892">
        <w:start w:val="1"/>
        <w:numFmt w:val="decimal"/>
        <w:lvlText w:val="%2."/>
        <w:lvlJc w:val="right"/>
        <w:pPr>
          <w:ind w:left="1000" w:hanging="180"/>
        </w:pPr>
      </w:lvl>
    </w:lvlOverride>
    <w:lvlOverride w:ilvl="2">
      <w:startOverride w:val="1"/>
      <w:lvl w:ilvl="2" w:tplc="E0AEFFD4">
        <w:start w:val="1"/>
        <w:numFmt w:val="decimal"/>
        <w:lvlText w:val="%3."/>
        <w:lvlJc w:val="right"/>
        <w:pPr>
          <w:ind w:left="1500" w:hanging="180"/>
        </w:pPr>
      </w:lvl>
    </w:lvlOverride>
    <w:lvlOverride w:ilvl="3">
      <w:startOverride w:val="1"/>
      <w:lvl w:ilvl="3" w:tplc="EB3CEF6C">
        <w:start w:val="1"/>
        <w:numFmt w:val="decimal"/>
        <w:lvlText w:val="%4."/>
        <w:lvlJc w:val="right"/>
        <w:pPr>
          <w:ind w:left="2000" w:hanging="180"/>
        </w:pPr>
      </w:lvl>
    </w:lvlOverride>
    <w:lvlOverride w:ilvl="4">
      <w:startOverride w:val="1"/>
      <w:lvl w:ilvl="4" w:tplc="BD32DCC0">
        <w:start w:val="1"/>
        <w:numFmt w:val="decimal"/>
        <w:lvlText w:val="%5."/>
        <w:lvlJc w:val="right"/>
        <w:pPr>
          <w:ind w:left="2500" w:hanging="180"/>
        </w:pPr>
      </w:lvl>
    </w:lvlOverride>
    <w:lvlOverride w:ilvl="5">
      <w:startOverride w:val="1"/>
      <w:lvl w:ilvl="5" w:tplc="322E9CF8">
        <w:start w:val="1"/>
        <w:numFmt w:val="decimal"/>
        <w:lvlText w:val="%6."/>
        <w:lvlJc w:val="right"/>
        <w:pPr>
          <w:ind w:left="3000" w:hanging="180"/>
        </w:pPr>
      </w:lvl>
    </w:lvlOverride>
    <w:lvlOverride w:ilvl="6">
      <w:startOverride w:val="1"/>
      <w:lvl w:ilvl="6" w:tplc="635411FC">
        <w:start w:val="1"/>
        <w:numFmt w:val="decimal"/>
        <w:lvlText w:val="%7."/>
        <w:lvlJc w:val="right"/>
        <w:pPr>
          <w:ind w:left="3500" w:hanging="180"/>
        </w:pPr>
      </w:lvl>
    </w:lvlOverride>
    <w:lvlOverride w:ilvl="7">
      <w:startOverride w:val="1"/>
      <w:lvl w:ilvl="7" w:tplc="6F7672B8">
        <w:start w:val="1"/>
        <w:numFmt w:val="decimal"/>
        <w:lvlText w:val="%8."/>
        <w:lvlJc w:val="right"/>
        <w:pPr>
          <w:ind w:left="4000" w:hanging="180"/>
        </w:pPr>
      </w:lvl>
    </w:lvlOverride>
    <w:lvlOverride w:ilvl="8">
      <w:startOverride w:val="1"/>
      <w:lvl w:ilvl="8" w:tplc="7736B628">
        <w:start w:val="1"/>
        <w:numFmt w:val="decimal"/>
        <w:lvlText w:val="%9."/>
        <w:lvlJc w:val="right"/>
        <w:pPr>
          <w:ind w:left="4500" w:hanging="180"/>
        </w:pPr>
      </w:lvl>
    </w:lvlOverride>
  </w:num>
  <w:num w:numId="8" w16cid:durableId="890963318">
    <w:abstractNumId w:val="35"/>
    <w:lvlOverride w:ilvl="0">
      <w:startOverride w:val="1"/>
      <w:lvl w:ilvl="0" w:tplc="DE201C52">
        <w:start w:val="1"/>
        <w:numFmt w:val="bullet"/>
        <w:lvlText w:val=""/>
        <w:lvlJc w:val="right"/>
        <w:pPr>
          <w:ind w:left="500" w:hanging="180"/>
        </w:pPr>
        <w:rPr>
          <w:rFonts w:ascii="Symbol" w:hAnsi="Symbol" w:hint="default"/>
        </w:rPr>
      </w:lvl>
    </w:lvlOverride>
    <w:lvlOverride w:ilvl="1">
      <w:startOverride w:val="1"/>
      <w:lvl w:ilvl="1" w:tplc="B8702964">
        <w:start w:val="1"/>
        <w:numFmt w:val="decimal"/>
        <w:lvlText w:val="%2."/>
        <w:lvlJc w:val="right"/>
        <w:pPr>
          <w:ind w:left="1000" w:hanging="180"/>
        </w:pPr>
      </w:lvl>
    </w:lvlOverride>
    <w:lvlOverride w:ilvl="2">
      <w:startOverride w:val="1"/>
      <w:lvl w:ilvl="2" w:tplc="5546D96C">
        <w:start w:val="1"/>
        <w:numFmt w:val="decimal"/>
        <w:lvlText w:val="%3."/>
        <w:lvlJc w:val="right"/>
        <w:pPr>
          <w:ind w:left="1500" w:hanging="180"/>
        </w:pPr>
      </w:lvl>
    </w:lvlOverride>
    <w:lvlOverride w:ilvl="3">
      <w:startOverride w:val="1"/>
      <w:lvl w:ilvl="3" w:tplc="C70A4D22">
        <w:start w:val="1"/>
        <w:numFmt w:val="decimal"/>
        <w:lvlText w:val="%4."/>
        <w:lvlJc w:val="right"/>
        <w:pPr>
          <w:ind w:left="2000" w:hanging="180"/>
        </w:pPr>
      </w:lvl>
    </w:lvlOverride>
    <w:lvlOverride w:ilvl="4">
      <w:startOverride w:val="1"/>
      <w:lvl w:ilvl="4" w:tplc="A4F4A78E">
        <w:start w:val="1"/>
        <w:numFmt w:val="decimal"/>
        <w:lvlText w:val="%5."/>
        <w:lvlJc w:val="right"/>
        <w:pPr>
          <w:ind w:left="2500" w:hanging="180"/>
        </w:pPr>
      </w:lvl>
    </w:lvlOverride>
    <w:lvlOverride w:ilvl="5">
      <w:startOverride w:val="1"/>
      <w:lvl w:ilvl="5" w:tplc="65E6AB5C">
        <w:start w:val="1"/>
        <w:numFmt w:val="decimal"/>
        <w:lvlText w:val="%6."/>
        <w:lvlJc w:val="right"/>
        <w:pPr>
          <w:ind w:left="3000" w:hanging="180"/>
        </w:pPr>
      </w:lvl>
    </w:lvlOverride>
    <w:lvlOverride w:ilvl="6">
      <w:startOverride w:val="1"/>
      <w:lvl w:ilvl="6" w:tplc="72107232">
        <w:start w:val="1"/>
        <w:numFmt w:val="decimal"/>
        <w:lvlText w:val="%7."/>
        <w:lvlJc w:val="right"/>
        <w:pPr>
          <w:ind w:left="3500" w:hanging="180"/>
        </w:pPr>
      </w:lvl>
    </w:lvlOverride>
    <w:lvlOverride w:ilvl="7">
      <w:startOverride w:val="1"/>
      <w:lvl w:ilvl="7" w:tplc="7CEE5AE4">
        <w:start w:val="1"/>
        <w:numFmt w:val="decimal"/>
        <w:lvlText w:val="%8."/>
        <w:lvlJc w:val="right"/>
        <w:pPr>
          <w:ind w:left="4000" w:hanging="180"/>
        </w:pPr>
      </w:lvl>
    </w:lvlOverride>
    <w:lvlOverride w:ilvl="8">
      <w:startOverride w:val="1"/>
      <w:lvl w:ilvl="8" w:tplc="68E6CFA4">
        <w:start w:val="1"/>
        <w:numFmt w:val="decimal"/>
        <w:lvlText w:val="%9."/>
        <w:lvlJc w:val="right"/>
        <w:pPr>
          <w:ind w:left="4500" w:hanging="180"/>
        </w:pPr>
      </w:lvl>
    </w:lvlOverride>
  </w:num>
  <w:num w:numId="9" w16cid:durableId="621885321">
    <w:abstractNumId w:val="4"/>
    <w:lvlOverride w:ilvl="0">
      <w:startOverride w:val="1"/>
      <w:lvl w:ilvl="0" w:tplc="7BB44F70">
        <w:start w:val="1"/>
        <w:numFmt w:val="bullet"/>
        <w:lvlText w:val=""/>
        <w:lvlJc w:val="right"/>
        <w:pPr>
          <w:ind w:left="500" w:hanging="180"/>
        </w:pPr>
        <w:rPr>
          <w:rFonts w:ascii="Symbol" w:hAnsi="Symbol" w:hint="default"/>
        </w:rPr>
      </w:lvl>
    </w:lvlOverride>
    <w:lvlOverride w:ilvl="1">
      <w:startOverride w:val="1"/>
      <w:lvl w:ilvl="1" w:tplc="FBEA0E16">
        <w:start w:val="1"/>
        <w:numFmt w:val="decimal"/>
        <w:lvlText w:val="%2."/>
        <w:lvlJc w:val="right"/>
        <w:pPr>
          <w:ind w:left="1000" w:hanging="180"/>
        </w:pPr>
      </w:lvl>
    </w:lvlOverride>
    <w:lvlOverride w:ilvl="2">
      <w:startOverride w:val="1"/>
      <w:lvl w:ilvl="2" w:tplc="B1102390">
        <w:start w:val="1"/>
        <w:numFmt w:val="decimal"/>
        <w:lvlText w:val="%3."/>
        <w:lvlJc w:val="right"/>
        <w:pPr>
          <w:ind w:left="1500" w:hanging="180"/>
        </w:pPr>
      </w:lvl>
    </w:lvlOverride>
    <w:lvlOverride w:ilvl="3">
      <w:startOverride w:val="1"/>
      <w:lvl w:ilvl="3" w:tplc="CF14D720">
        <w:start w:val="1"/>
        <w:numFmt w:val="decimal"/>
        <w:lvlText w:val="%4."/>
        <w:lvlJc w:val="right"/>
        <w:pPr>
          <w:ind w:left="2000" w:hanging="180"/>
        </w:pPr>
      </w:lvl>
    </w:lvlOverride>
    <w:lvlOverride w:ilvl="4">
      <w:startOverride w:val="1"/>
      <w:lvl w:ilvl="4" w:tplc="A31C1496">
        <w:start w:val="1"/>
        <w:numFmt w:val="decimal"/>
        <w:lvlText w:val="%5."/>
        <w:lvlJc w:val="right"/>
        <w:pPr>
          <w:ind w:left="2500" w:hanging="180"/>
        </w:pPr>
      </w:lvl>
    </w:lvlOverride>
    <w:lvlOverride w:ilvl="5">
      <w:startOverride w:val="1"/>
      <w:lvl w:ilvl="5" w:tplc="24D20DBE">
        <w:start w:val="1"/>
        <w:numFmt w:val="decimal"/>
        <w:lvlText w:val="%6."/>
        <w:lvlJc w:val="right"/>
        <w:pPr>
          <w:ind w:left="3000" w:hanging="180"/>
        </w:pPr>
      </w:lvl>
    </w:lvlOverride>
    <w:lvlOverride w:ilvl="6">
      <w:startOverride w:val="1"/>
      <w:lvl w:ilvl="6" w:tplc="B2D07B80">
        <w:start w:val="1"/>
        <w:numFmt w:val="decimal"/>
        <w:lvlText w:val="%7."/>
        <w:lvlJc w:val="right"/>
        <w:pPr>
          <w:ind w:left="3500" w:hanging="180"/>
        </w:pPr>
      </w:lvl>
    </w:lvlOverride>
    <w:lvlOverride w:ilvl="7">
      <w:startOverride w:val="1"/>
      <w:lvl w:ilvl="7" w:tplc="5D003F72">
        <w:start w:val="1"/>
        <w:numFmt w:val="decimal"/>
        <w:lvlText w:val="%8."/>
        <w:lvlJc w:val="right"/>
        <w:pPr>
          <w:ind w:left="4000" w:hanging="180"/>
        </w:pPr>
      </w:lvl>
    </w:lvlOverride>
    <w:lvlOverride w:ilvl="8">
      <w:startOverride w:val="1"/>
      <w:lvl w:ilvl="8" w:tplc="59D0E408">
        <w:start w:val="1"/>
        <w:numFmt w:val="decimal"/>
        <w:lvlText w:val="%9."/>
        <w:lvlJc w:val="right"/>
        <w:pPr>
          <w:ind w:left="4500" w:hanging="180"/>
        </w:pPr>
      </w:lvl>
    </w:lvlOverride>
  </w:num>
  <w:num w:numId="10" w16cid:durableId="606667538">
    <w:abstractNumId w:val="4"/>
    <w:lvlOverride w:ilvl="0">
      <w:startOverride w:val="1"/>
      <w:lvl w:ilvl="0" w:tplc="7BB44F70">
        <w:start w:val="1"/>
        <w:numFmt w:val="bullet"/>
        <w:lvlText w:val=""/>
        <w:lvlJc w:val="right"/>
        <w:pPr>
          <w:ind w:left="500" w:hanging="180"/>
        </w:pPr>
        <w:rPr>
          <w:rFonts w:ascii="Symbol" w:hAnsi="Symbol" w:hint="default"/>
        </w:rPr>
      </w:lvl>
    </w:lvlOverride>
    <w:lvlOverride w:ilvl="1">
      <w:startOverride w:val="1"/>
      <w:lvl w:ilvl="1" w:tplc="FBEA0E16">
        <w:start w:val="1"/>
        <w:numFmt w:val="decimal"/>
        <w:lvlText w:val="%2."/>
        <w:lvlJc w:val="right"/>
        <w:pPr>
          <w:ind w:left="1000" w:hanging="180"/>
        </w:pPr>
      </w:lvl>
    </w:lvlOverride>
    <w:lvlOverride w:ilvl="2">
      <w:startOverride w:val="1"/>
      <w:lvl w:ilvl="2" w:tplc="B1102390">
        <w:start w:val="1"/>
        <w:numFmt w:val="decimal"/>
        <w:lvlText w:val="%3."/>
        <w:lvlJc w:val="right"/>
        <w:pPr>
          <w:ind w:left="1500" w:hanging="180"/>
        </w:pPr>
      </w:lvl>
    </w:lvlOverride>
    <w:lvlOverride w:ilvl="3">
      <w:startOverride w:val="1"/>
      <w:lvl w:ilvl="3" w:tplc="CF14D720">
        <w:start w:val="1"/>
        <w:numFmt w:val="decimal"/>
        <w:lvlText w:val="%4."/>
        <w:lvlJc w:val="right"/>
        <w:pPr>
          <w:ind w:left="2000" w:hanging="180"/>
        </w:pPr>
      </w:lvl>
    </w:lvlOverride>
    <w:lvlOverride w:ilvl="4">
      <w:startOverride w:val="1"/>
      <w:lvl w:ilvl="4" w:tplc="A31C1496">
        <w:start w:val="1"/>
        <w:numFmt w:val="decimal"/>
        <w:lvlText w:val="%5."/>
        <w:lvlJc w:val="right"/>
        <w:pPr>
          <w:ind w:left="2500" w:hanging="180"/>
        </w:pPr>
      </w:lvl>
    </w:lvlOverride>
    <w:lvlOverride w:ilvl="5">
      <w:startOverride w:val="1"/>
      <w:lvl w:ilvl="5" w:tplc="24D20DBE">
        <w:start w:val="1"/>
        <w:numFmt w:val="decimal"/>
        <w:lvlText w:val="%6."/>
        <w:lvlJc w:val="right"/>
        <w:pPr>
          <w:ind w:left="3000" w:hanging="180"/>
        </w:pPr>
      </w:lvl>
    </w:lvlOverride>
    <w:lvlOverride w:ilvl="6">
      <w:startOverride w:val="1"/>
      <w:lvl w:ilvl="6" w:tplc="B2D07B80">
        <w:start w:val="1"/>
        <w:numFmt w:val="decimal"/>
        <w:lvlText w:val="%7."/>
        <w:lvlJc w:val="right"/>
        <w:pPr>
          <w:ind w:left="3500" w:hanging="180"/>
        </w:pPr>
      </w:lvl>
    </w:lvlOverride>
    <w:lvlOverride w:ilvl="7">
      <w:startOverride w:val="1"/>
      <w:lvl w:ilvl="7" w:tplc="5D003F72">
        <w:start w:val="1"/>
        <w:numFmt w:val="decimal"/>
        <w:lvlText w:val="%8."/>
        <w:lvlJc w:val="right"/>
        <w:pPr>
          <w:ind w:left="4000" w:hanging="180"/>
        </w:pPr>
      </w:lvl>
    </w:lvlOverride>
    <w:lvlOverride w:ilvl="8">
      <w:startOverride w:val="1"/>
      <w:lvl w:ilvl="8" w:tplc="59D0E408">
        <w:start w:val="1"/>
        <w:numFmt w:val="decimal"/>
        <w:lvlText w:val="%9."/>
        <w:lvlJc w:val="right"/>
        <w:pPr>
          <w:ind w:left="4500" w:hanging="180"/>
        </w:pPr>
      </w:lvl>
    </w:lvlOverride>
  </w:num>
  <w:num w:numId="11" w16cid:durableId="252594629">
    <w:abstractNumId w:val="20"/>
    <w:lvlOverride w:ilvl="0">
      <w:startOverride w:val="1"/>
      <w:lvl w:ilvl="0" w:tplc="D7D46D6A">
        <w:start w:val="1"/>
        <w:numFmt w:val="bullet"/>
        <w:lvlText w:val=""/>
        <w:lvlJc w:val="right"/>
        <w:pPr>
          <w:ind w:left="500" w:hanging="180"/>
        </w:pPr>
        <w:rPr>
          <w:rFonts w:ascii="Symbol" w:hAnsi="Symbol" w:hint="default"/>
        </w:rPr>
      </w:lvl>
    </w:lvlOverride>
    <w:lvlOverride w:ilvl="1">
      <w:startOverride w:val="1"/>
      <w:lvl w:ilvl="1" w:tplc="1CE4B762">
        <w:start w:val="1"/>
        <w:numFmt w:val="decimal"/>
        <w:lvlText w:val="%2."/>
        <w:lvlJc w:val="right"/>
        <w:pPr>
          <w:ind w:left="1000" w:hanging="180"/>
        </w:pPr>
      </w:lvl>
    </w:lvlOverride>
    <w:lvlOverride w:ilvl="2">
      <w:startOverride w:val="1"/>
      <w:lvl w:ilvl="2" w:tplc="9D50A11A">
        <w:start w:val="1"/>
        <w:numFmt w:val="decimal"/>
        <w:lvlText w:val="%3."/>
        <w:lvlJc w:val="right"/>
        <w:pPr>
          <w:ind w:left="1500" w:hanging="180"/>
        </w:pPr>
      </w:lvl>
    </w:lvlOverride>
    <w:lvlOverride w:ilvl="3">
      <w:startOverride w:val="1"/>
      <w:lvl w:ilvl="3" w:tplc="FDD8E51A">
        <w:start w:val="1"/>
        <w:numFmt w:val="decimal"/>
        <w:lvlText w:val="%4."/>
        <w:lvlJc w:val="right"/>
        <w:pPr>
          <w:ind w:left="2000" w:hanging="180"/>
        </w:pPr>
      </w:lvl>
    </w:lvlOverride>
    <w:lvlOverride w:ilvl="4">
      <w:startOverride w:val="1"/>
      <w:lvl w:ilvl="4" w:tplc="9B72133C">
        <w:start w:val="1"/>
        <w:numFmt w:val="decimal"/>
        <w:lvlText w:val="%5."/>
        <w:lvlJc w:val="right"/>
        <w:pPr>
          <w:ind w:left="2500" w:hanging="180"/>
        </w:pPr>
      </w:lvl>
    </w:lvlOverride>
    <w:lvlOverride w:ilvl="5">
      <w:startOverride w:val="1"/>
      <w:lvl w:ilvl="5" w:tplc="46B02E16">
        <w:start w:val="1"/>
        <w:numFmt w:val="decimal"/>
        <w:lvlText w:val="%6."/>
        <w:lvlJc w:val="right"/>
        <w:pPr>
          <w:ind w:left="3000" w:hanging="180"/>
        </w:pPr>
      </w:lvl>
    </w:lvlOverride>
    <w:lvlOverride w:ilvl="6">
      <w:startOverride w:val="1"/>
      <w:lvl w:ilvl="6" w:tplc="8B92F084">
        <w:start w:val="1"/>
        <w:numFmt w:val="decimal"/>
        <w:lvlText w:val="%7."/>
        <w:lvlJc w:val="right"/>
        <w:pPr>
          <w:ind w:left="3500" w:hanging="180"/>
        </w:pPr>
      </w:lvl>
    </w:lvlOverride>
    <w:lvlOverride w:ilvl="7">
      <w:startOverride w:val="1"/>
      <w:lvl w:ilvl="7" w:tplc="B0121BB6">
        <w:start w:val="1"/>
        <w:numFmt w:val="decimal"/>
        <w:lvlText w:val="%8."/>
        <w:lvlJc w:val="right"/>
        <w:pPr>
          <w:ind w:left="4000" w:hanging="180"/>
        </w:pPr>
      </w:lvl>
    </w:lvlOverride>
    <w:lvlOverride w:ilvl="8">
      <w:startOverride w:val="1"/>
      <w:lvl w:ilvl="8" w:tplc="5BC28360">
        <w:start w:val="1"/>
        <w:numFmt w:val="decimal"/>
        <w:lvlText w:val="%9."/>
        <w:lvlJc w:val="right"/>
        <w:pPr>
          <w:ind w:left="4500" w:hanging="180"/>
        </w:pPr>
      </w:lvl>
    </w:lvlOverride>
  </w:num>
  <w:num w:numId="12" w16cid:durableId="223877952">
    <w:abstractNumId w:val="64"/>
    <w:lvlOverride w:ilvl="0">
      <w:startOverride w:val="1"/>
      <w:lvl w:ilvl="0" w:tplc="50A66FFA">
        <w:start w:val="1"/>
        <w:numFmt w:val="decimal"/>
        <w:lvlText w:val="%1."/>
        <w:lvlJc w:val="right"/>
        <w:pPr>
          <w:ind w:left="500" w:hanging="180"/>
        </w:pPr>
      </w:lvl>
    </w:lvlOverride>
    <w:lvlOverride w:ilvl="1">
      <w:startOverride w:val="1"/>
      <w:lvl w:ilvl="1" w:tplc="2C9015DE">
        <w:start w:val="1"/>
        <w:numFmt w:val="decimal"/>
        <w:lvlText w:val="%2."/>
        <w:lvlJc w:val="right"/>
        <w:pPr>
          <w:ind w:left="1000" w:hanging="180"/>
        </w:pPr>
      </w:lvl>
    </w:lvlOverride>
    <w:lvlOverride w:ilvl="2">
      <w:startOverride w:val="1"/>
      <w:lvl w:ilvl="2" w:tplc="5462AA40">
        <w:start w:val="1"/>
        <w:numFmt w:val="decimal"/>
        <w:lvlText w:val="%3."/>
        <w:lvlJc w:val="right"/>
        <w:pPr>
          <w:ind w:left="1500" w:hanging="180"/>
        </w:pPr>
      </w:lvl>
    </w:lvlOverride>
    <w:lvlOverride w:ilvl="3">
      <w:startOverride w:val="1"/>
      <w:lvl w:ilvl="3" w:tplc="FC562112">
        <w:start w:val="1"/>
        <w:numFmt w:val="decimal"/>
        <w:lvlText w:val="%4."/>
        <w:lvlJc w:val="right"/>
        <w:pPr>
          <w:ind w:left="2000" w:hanging="180"/>
        </w:pPr>
      </w:lvl>
    </w:lvlOverride>
    <w:lvlOverride w:ilvl="4">
      <w:startOverride w:val="1"/>
      <w:lvl w:ilvl="4" w:tplc="2E20F2C0">
        <w:start w:val="1"/>
        <w:numFmt w:val="decimal"/>
        <w:lvlText w:val="%5."/>
        <w:lvlJc w:val="right"/>
        <w:pPr>
          <w:ind w:left="2500" w:hanging="180"/>
        </w:pPr>
      </w:lvl>
    </w:lvlOverride>
    <w:lvlOverride w:ilvl="5">
      <w:startOverride w:val="1"/>
      <w:lvl w:ilvl="5" w:tplc="329AC9B4">
        <w:start w:val="1"/>
        <w:numFmt w:val="decimal"/>
        <w:lvlText w:val="%6."/>
        <w:lvlJc w:val="right"/>
        <w:pPr>
          <w:ind w:left="3000" w:hanging="180"/>
        </w:pPr>
      </w:lvl>
    </w:lvlOverride>
    <w:lvlOverride w:ilvl="6">
      <w:startOverride w:val="1"/>
      <w:lvl w:ilvl="6" w:tplc="BB5EAF8E">
        <w:start w:val="1"/>
        <w:numFmt w:val="decimal"/>
        <w:lvlText w:val="%7."/>
        <w:lvlJc w:val="right"/>
        <w:pPr>
          <w:ind w:left="3500" w:hanging="180"/>
        </w:pPr>
      </w:lvl>
    </w:lvlOverride>
    <w:lvlOverride w:ilvl="7">
      <w:startOverride w:val="1"/>
      <w:lvl w:ilvl="7" w:tplc="4D2ABC56">
        <w:start w:val="1"/>
        <w:numFmt w:val="decimal"/>
        <w:lvlText w:val="%8."/>
        <w:lvlJc w:val="right"/>
        <w:pPr>
          <w:ind w:left="4000" w:hanging="180"/>
        </w:pPr>
      </w:lvl>
    </w:lvlOverride>
    <w:lvlOverride w:ilvl="8">
      <w:startOverride w:val="1"/>
      <w:lvl w:ilvl="8" w:tplc="CAE68666">
        <w:start w:val="1"/>
        <w:numFmt w:val="decimal"/>
        <w:lvlText w:val="%9."/>
        <w:lvlJc w:val="right"/>
        <w:pPr>
          <w:ind w:left="4500" w:hanging="180"/>
        </w:pPr>
      </w:lvl>
    </w:lvlOverride>
  </w:num>
  <w:num w:numId="13" w16cid:durableId="2042972158">
    <w:abstractNumId w:val="37"/>
    <w:lvlOverride w:ilvl="0">
      <w:startOverride w:val="1"/>
      <w:lvl w:ilvl="0" w:tplc="1D58064C">
        <w:start w:val="1"/>
        <w:numFmt w:val="bullet"/>
        <w:lvlText w:val=""/>
        <w:lvlJc w:val="right"/>
        <w:pPr>
          <w:ind w:left="500" w:hanging="180"/>
        </w:pPr>
        <w:rPr>
          <w:rFonts w:ascii="Symbol" w:hAnsi="Symbol" w:hint="default"/>
        </w:rPr>
      </w:lvl>
    </w:lvlOverride>
    <w:lvlOverride w:ilvl="1">
      <w:startOverride w:val="1"/>
      <w:lvl w:ilvl="1" w:tplc="E58A9652">
        <w:start w:val="1"/>
        <w:numFmt w:val="decimal"/>
        <w:lvlText w:val="%2."/>
        <w:lvlJc w:val="right"/>
        <w:pPr>
          <w:ind w:left="1000" w:hanging="180"/>
        </w:pPr>
      </w:lvl>
    </w:lvlOverride>
    <w:lvlOverride w:ilvl="2">
      <w:startOverride w:val="1"/>
      <w:lvl w:ilvl="2" w:tplc="52F4E0D0">
        <w:start w:val="1"/>
        <w:numFmt w:val="decimal"/>
        <w:lvlText w:val="%3."/>
        <w:lvlJc w:val="right"/>
        <w:pPr>
          <w:ind w:left="1500" w:hanging="180"/>
        </w:pPr>
      </w:lvl>
    </w:lvlOverride>
    <w:lvlOverride w:ilvl="3">
      <w:startOverride w:val="1"/>
      <w:lvl w:ilvl="3" w:tplc="422051CE">
        <w:start w:val="1"/>
        <w:numFmt w:val="decimal"/>
        <w:lvlText w:val="%4."/>
        <w:lvlJc w:val="right"/>
        <w:pPr>
          <w:ind w:left="2000" w:hanging="180"/>
        </w:pPr>
      </w:lvl>
    </w:lvlOverride>
    <w:lvlOverride w:ilvl="4">
      <w:startOverride w:val="1"/>
      <w:lvl w:ilvl="4" w:tplc="9F888EBA">
        <w:start w:val="1"/>
        <w:numFmt w:val="decimal"/>
        <w:lvlText w:val="%5."/>
        <w:lvlJc w:val="right"/>
        <w:pPr>
          <w:ind w:left="2500" w:hanging="180"/>
        </w:pPr>
      </w:lvl>
    </w:lvlOverride>
    <w:lvlOverride w:ilvl="5">
      <w:startOverride w:val="1"/>
      <w:lvl w:ilvl="5" w:tplc="E4A89930">
        <w:start w:val="1"/>
        <w:numFmt w:val="decimal"/>
        <w:lvlText w:val="%6."/>
        <w:lvlJc w:val="right"/>
        <w:pPr>
          <w:ind w:left="3000" w:hanging="180"/>
        </w:pPr>
      </w:lvl>
    </w:lvlOverride>
    <w:lvlOverride w:ilvl="6">
      <w:startOverride w:val="1"/>
      <w:lvl w:ilvl="6" w:tplc="52A043D2">
        <w:start w:val="1"/>
        <w:numFmt w:val="decimal"/>
        <w:lvlText w:val="%7."/>
        <w:lvlJc w:val="right"/>
        <w:pPr>
          <w:ind w:left="3500" w:hanging="180"/>
        </w:pPr>
      </w:lvl>
    </w:lvlOverride>
    <w:lvlOverride w:ilvl="7">
      <w:startOverride w:val="1"/>
      <w:lvl w:ilvl="7" w:tplc="4F6AEDE0">
        <w:start w:val="1"/>
        <w:numFmt w:val="decimal"/>
        <w:lvlText w:val="%8."/>
        <w:lvlJc w:val="right"/>
        <w:pPr>
          <w:ind w:left="4000" w:hanging="180"/>
        </w:pPr>
      </w:lvl>
    </w:lvlOverride>
    <w:lvlOverride w:ilvl="8">
      <w:startOverride w:val="1"/>
      <w:lvl w:ilvl="8" w:tplc="56569A2A">
        <w:start w:val="1"/>
        <w:numFmt w:val="decimal"/>
        <w:lvlText w:val="%9."/>
        <w:lvlJc w:val="right"/>
        <w:pPr>
          <w:ind w:left="4500" w:hanging="180"/>
        </w:pPr>
      </w:lvl>
    </w:lvlOverride>
  </w:num>
  <w:num w:numId="14" w16cid:durableId="2083790329">
    <w:abstractNumId w:val="30"/>
    <w:lvlOverride w:ilvl="0">
      <w:startOverride w:val="1"/>
      <w:lvl w:ilvl="0" w:tplc="2D08F0EC">
        <w:start w:val="1"/>
        <w:numFmt w:val="bullet"/>
        <w:lvlText w:val=""/>
        <w:lvlJc w:val="right"/>
        <w:pPr>
          <w:ind w:left="500" w:hanging="180"/>
        </w:pPr>
        <w:rPr>
          <w:rFonts w:ascii="Symbol" w:hAnsi="Symbol" w:hint="default"/>
        </w:rPr>
      </w:lvl>
    </w:lvlOverride>
    <w:lvlOverride w:ilvl="1">
      <w:startOverride w:val="1"/>
      <w:lvl w:ilvl="1" w:tplc="3F727706">
        <w:start w:val="1"/>
        <w:numFmt w:val="decimal"/>
        <w:lvlText w:val="%2."/>
        <w:lvlJc w:val="right"/>
        <w:pPr>
          <w:ind w:left="1000" w:hanging="180"/>
        </w:pPr>
      </w:lvl>
    </w:lvlOverride>
    <w:lvlOverride w:ilvl="2">
      <w:startOverride w:val="1"/>
      <w:lvl w:ilvl="2" w:tplc="89D2C120">
        <w:start w:val="1"/>
        <w:numFmt w:val="decimal"/>
        <w:lvlText w:val="%3."/>
        <w:lvlJc w:val="right"/>
        <w:pPr>
          <w:ind w:left="1500" w:hanging="180"/>
        </w:pPr>
      </w:lvl>
    </w:lvlOverride>
    <w:lvlOverride w:ilvl="3">
      <w:startOverride w:val="1"/>
      <w:lvl w:ilvl="3" w:tplc="93BE8F1C">
        <w:start w:val="1"/>
        <w:numFmt w:val="decimal"/>
        <w:lvlText w:val="%4."/>
        <w:lvlJc w:val="right"/>
        <w:pPr>
          <w:ind w:left="2000" w:hanging="180"/>
        </w:pPr>
      </w:lvl>
    </w:lvlOverride>
    <w:lvlOverride w:ilvl="4">
      <w:startOverride w:val="1"/>
      <w:lvl w:ilvl="4" w:tplc="994804D6">
        <w:start w:val="1"/>
        <w:numFmt w:val="decimal"/>
        <w:lvlText w:val="%5."/>
        <w:lvlJc w:val="right"/>
        <w:pPr>
          <w:ind w:left="2500" w:hanging="180"/>
        </w:pPr>
      </w:lvl>
    </w:lvlOverride>
    <w:lvlOverride w:ilvl="5">
      <w:startOverride w:val="1"/>
      <w:lvl w:ilvl="5" w:tplc="E26C0BB6">
        <w:start w:val="1"/>
        <w:numFmt w:val="decimal"/>
        <w:lvlText w:val="%6."/>
        <w:lvlJc w:val="right"/>
        <w:pPr>
          <w:ind w:left="3000" w:hanging="180"/>
        </w:pPr>
      </w:lvl>
    </w:lvlOverride>
    <w:lvlOverride w:ilvl="6">
      <w:startOverride w:val="1"/>
      <w:lvl w:ilvl="6" w:tplc="BD96A84A">
        <w:start w:val="1"/>
        <w:numFmt w:val="decimal"/>
        <w:lvlText w:val="%7."/>
        <w:lvlJc w:val="right"/>
        <w:pPr>
          <w:ind w:left="3500" w:hanging="180"/>
        </w:pPr>
      </w:lvl>
    </w:lvlOverride>
    <w:lvlOverride w:ilvl="7">
      <w:startOverride w:val="1"/>
      <w:lvl w:ilvl="7" w:tplc="B5D2B142">
        <w:start w:val="1"/>
        <w:numFmt w:val="decimal"/>
        <w:lvlText w:val="%8."/>
        <w:lvlJc w:val="right"/>
        <w:pPr>
          <w:ind w:left="4000" w:hanging="180"/>
        </w:pPr>
      </w:lvl>
    </w:lvlOverride>
    <w:lvlOverride w:ilvl="8">
      <w:startOverride w:val="1"/>
      <w:lvl w:ilvl="8" w:tplc="AD96EC2E">
        <w:start w:val="1"/>
        <w:numFmt w:val="decimal"/>
        <w:lvlText w:val="%9."/>
        <w:lvlJc w:val="right"/>
        <w:pPr>
          <w:ind w:left="4500" w:hanging="180"/>
        </w:pPr>
      </w:lvl>
    </w:lvlOverride>
  </w:num>
  <w:num w:numId="15" w16cid:durableId="1594625201">
    <w:abstractNumId w:val="7"/>
    <w:lvlOverride w:ilvl="0">
      <w:startOverride w:val="1"/>
      <w:lvl w:ilvl="0" w:tplc="DE66827C">
        <w:start w:val="1"/>
        <w:numFmt w:val="bullet"/>
        <w:lvlText w:val=""/>
        <w:lvlJc w:val="right"/>
        <w:pPr>
          <w:ind w:left="500" w:hanging="180"/>
        </w:pPr>
        <w:rPr>
          <w:rFonts w:ascii="Symbol" w:hAnsi="Symbol" w:hint="default"/>
        </w:rPr>
      </w:lvl>
    </w:lvlOverride>
    <w:lvlOverride w:ilvl="1">
      <w:startOverride w:val="1"/>
      <w:lvl w:ilvl="1" w:tplc="415487D8">
        <w:start w:val="1"/>
        <w:numFmt w:val="decimal"/>
        <w:lvlText w:val="%2."/>
        <w:lvlJc w:val="right"/>
        <w:pPr>
          <w:ind w:left="1000" w:hanging="180"/>
        </w:pPr>
      </w:lvl>
    </w:lvlOverride>
    <w:lvlOverride w:ilvl="2">
      <w:startOverride w:val="1"/>
      <w:lvl w:ilvl="2" w:tplc="CCE630A0">
        <w:start w:val="1"/>
        <w:numFmt w:val="decimal"/>
        <w:lvlText w:val="%3."/>
        <w:lvlJc w:val="right"/>
        <w:pPr>
          <w:ind w:left="1500" w:hanging="180"/>
        </w:pPr>
      </w:lvl>
    </w:lvlOverride>
    <w:lvlOverride w:ilvl="3">
      <w:startOverride w:val="1"/>
      <w:lvl w:ilvl="3" w:tplc="DF426614">
        <w:start w:val="1"/>
        <w:numFmt w:val="decimal"/>
        <w:lvlText w:val="%4."/>
        <w:lvlJc w:val="right"/>
        <w:pPr>
          <w:ind w:left="2000" w:hanging="180"/>
        </w:pPr>
      </w:lvl>
    </w:lvlOverride>
    <w:lvlOverride w:ilvl="4">
      <w:startOverride w:val="1"/>
      <w:lvl w:ilvl="4" w:tplc="9ADA2564">
        <w:start w:val="1"/>
        <w:numFmt w:val="decimal"/>
        <w:lvlText w:val="%5."/>
        <w:lvlJc w:val="right"/>
        <w:pPr>
          <w:ind w:left="2500" w:hanging="180"/>
        </w:pPr>
      </w:lvl>
    </w:lvlOverride>
    <w:lvlOverride w:ilvl="5">
      <w:startOverride w:val="1"/>
      <w:lvl w:ilvl="5" w:tplc="F58CAF22">
        <w:start w:val="1"/>
        <w:numFmt w:val="decimal"/>
        <w:lvlText w:val="%6."/>
        <w:lvlJc w:val="right"/>
        <w:pPr>
          <w:ind w:left="3000" w:hanging="180"/>
        </w:pPr>
      </w:lvl>
    </w:lvlOverride>
    <w:lvlOverride w:ilvl="6">
      <w:startOverride w:val="1"/>
      <w:lvl w:ilvl="6" w:tplc="5CFA7D94">
        <w:start w:val="1"/>
        <w:numFmt w:val="decimal"/>
        <w:lvlText w:val="%7."/>
        <w:lvlJc w:val="right"/>
        <w:pPr>
          <w:ind w:left="3500" w:hanging="180"/>
        </w:pPr>
      </w:lvl>
    </w:lvlOverride>
    <w:lvlOverride w:ilvl="7">
      <w:startOverride w:val="1"/>
      <w:lvl w:ilvl="7" w:tplc="240EB3F4">
        <w:start w:val="1"/>
        <w:numFmt w:val="decimal"/>
        <w:lvlText w:val="%8."/>
        <w:lvlJc w:val="right"/>
        <w:pPr>
          <w:ind w:left="4000" w:hanging="180"/>
        </w:pPr>
      </w:lvl>
    </w:lvlOverride>
    <w:lvlOverride w:ilvl="8">
      <w:startOverride w:val="1"/>
      <w:lvl w:ilvl="8" w:tplc="15B89288">
        <w:start w:val="1"/>
        <w:numFmt w:val="decimal"/>
        <w:lvlText w:val="%9."/>
        <w:lvlJc w:val="right"/>
        <w:pPr>
          <w:ind w:left="4500" w:hanging="180"/>
        </w:pPr>
      </w:lvl>
    </w:lvlOverride>
  </w:num>
  <w:num w:numId="16" w16cid:durableId="1349715498">
    <w:abstractNumId w:val="29"/>
    <w:lvlOverride w:ilvl="0">
      <w:startOverride w:val="1"/>
      <w:lvl w:ilvl="0" w:tplc="50B82FCA">
        <w:start w:val="1"/>
        <w:numFmt w:val="bullet"/>
        <w:lvlText w:val=""/>
        <w:lvlJc w:val="right"/>
        <w:pPr>
          <w:ind w:left="500" w:hanging="180"/>
        </w:pPr>
        <w:rPr>
          <w:rFonts w:ascii="Symbol" w:hAnsi="Symbol" w:hint="default"/>
        </w:rPr>
      </w:lvl>
    </w:lvlOverride>
    <w:lvlOverride w:ilvl="1">
      <w:startOverride w:val="1"/>
      <w:lvl w:ilvl="1" w:tplc="DA184D62">
        <w:start w:val="1"/>
        <w:numFmt w:val="decimal"/>
        <w:lvlText w:val="%2."/>
        <w:lvlJc w:val="right"/>
        <w:pPr>
          <w:ind w:left="1000" w:hanging="180"/>
        </w:pPr>
      </w:lvl>
    </w:lvlOverride>
    <w:lvlOverride w:ilvl="2">
      <w:startOverride w:val="1"/>
      <w:lvl w:ilvl="2" w:tplc="0B6A5910">
        <w:start w:val="1"/>
        <w:numFmt w:val="decimal"/>
        <w:lvlText w:val="%3."/>
        <w:lvlJc w:val="right"/>
        <w:pPr>
          <w:ind w:left="1500" w:hanging="180"/>
        </w:pPr>
      </w:lvl>
    </w:lvlOverride>
    <w:lvlOverride w:ilvl="3">
      <w:startOverride w:val="1"/>
      <w:lvl w:ilvl="3" w:tplc="2BEC8136">
        <w:start w:val="1"/>
        <w:numFmt w:val="decimal"/>
        <w:lvlText w:val="%4."/>
        <w:lvlJc w:val="right"/>
        <w:pPr>
          <w:ind w:left="2000" w:hanging="180"/>
        </w:pPr>
      </w:lvl>
    </w:lvlOverride>
    <w:lvlOverride w:ilvl="4">
      <w:startOverride w:val="1"/>
      <w:lvl w:ilvl="4" w:tplc="5D202466">
        <w:start w:val="1"/>
        <w:numFmt w:val="decimal"/>
        <w:lvlText w:val="%5."/>
        <w:lvlJc w:val="right"/>
        <w:pPr>
          <w:ind w:left="2500" w:hanging="180"/>
        </w:pPr>
      </w:lvl>
    </w:lvlOverride>
    <w:lvlOverride w:ilvl="5">
      <w:startOverride w:val="1"/>
      <w:lvl w:ilvl="5" w:tplc="B7804E88">
        <w:start w:val="1"/>
        <w:numFmt w:val="decimal"/>
        <w:lvlText w:val="%6."/>
        <w:lvlJc w:val="right"/>
        <w:pPr>
          <w:ind w:left="3000" w:hanging="180"/>
        </w:pPr>
      </w:lvl>
    </w:lvlOverride>
    <w:lvlOverride w:ilvl="6">
      <w:startOverride w:val="1"/>
      <w:lvl w:ilvl="6" w:tplc="16B8F90E">
        <w:start w:val="1"/>
        <w:numFmt w:val="decimal"/>
        <w:lvlText w:val="%7."/>
        <w:lvlJc w:val="right"/>
        <w:pPr>
          <w:ind w:left="3500" w:hanging="180"/>
        </w:pPr>
      </w:lvl>
    </w:lvlOverride>
    <w:lvlOverride w:ilvl="7">
      <w:startOverride w:val="1"/>
      <w:lvl w:ilvl="7" w:tplc="2C8A21F0">
        <w:start w:val="1"/>
        <w:numFmt w:val="decimal"/>
        <w:lvlText w:val="%8."/>
        <w:lvlJc w:val="right"/>
        <w:pPr>
          <w:ind w:left="4000" w:hanging="180"/>
        </w:pPr>
      </w:lvl>
    </w:lvlOverride>
    <w:lvlOverride w:ilvl="8">
      <w:startOverride w:val="1"/>
      <w:lvl w:ilvl="8" w:tplc="3EAC9858">
        <w:start w:val="1"/>
        <w:numFmt w:val="decimal"/>
        <w:lvlText w:val="%9."/>
        <w:lvlJc w:val="right"/>
        <w:pPr>
          <w:ind w:left="4500" w:hanging="180"/>
        </w:pPr>
      </w:lvl>
    </w:lvlOverride>
  </w:num>
  <w:num w:numId="17" w16cid:durableId="1475753097">
    <w:abstractNumId w:val="84"/>
    <w:lvlOverride w:ilvl="0">
      <w:startOverride w:val="1"/>
      <w:lvl w:ilvl="0" w:tplc="B468ACB6">
        <w:start w:val="1"/>
        <w:numFmt w:val="bullet"/>
        <w:lvlText w:val=""/>
        <w:lvlJc w:val="right"/>
        <w:pPr>
          <w:ind w:left="500" w:hanging="180"/>
        </w:pPr>
        <w:rPr>
          <w:rFonts w:ascii="Symbol" w:hAnsi="Symbol" w:hint="default"/>
        </w:rPr>
      </w:lvl>
    </w:lvlOverride>
    <w:lvlOverride w:ilvl="1">
      <w:startOverride w:val="1"/>
      <w:lvl w:ilvl="1" w:tplc="355EE62A">
        <w:start w:val="1"/>
        <w:numFmt w:val="decimal"/>
        <w:lvlText w:val="%2."/>
        <w:lvlJc w:val="right"/>
        <w:pPr>
          <w:ind w:left="1000" w:hanging="180"/>
        </w:pPr>
      </w:lvl>
    </w:lvlOverride>
    <w:lvlOverride w:ilvl="2">
      <w:startOverride w:val="1"/>
      <w:lvl w:ilvl="2" w:tplc="6F0C7E50">
        <w:start w:val="1"/>
        <w:numFmt w:val="decimal"/>
        <w:lvlText w:val="%3."/>
        <w:lvlJc w:val="right"/>
        <w:pPr>
          <w:ind w:left="1500" w:hanging="180"/>
        </w:pPr>
      </w:lvl>
    </w:lvlOverride>
    <w:lvlOverride w:ilvl="3">
      <w:startOverride w:val="1"/>
      <w:lvl w:ilvl="3" w:tplc="68AACE2A">
        <w:start w:val="1"/>
        <w:numFmt w:val="decimal"/>
        <w:lvlText w:val="%4."/>
        <w:lvlJc w:val="right"/>
        <w:pPr>
          <w:ind w:left="2000" w:hanging="180"/>
        </w:pPr>
      </w:lvl>
    </w:lvlOverride>
    <w:lvlOverride w:ilvl="4">
      <w:startOverride w:val="1"/>
      <w:lvl w:ilvl="4" w:tplc="AEE65C5A">
        <w:start w:val="1"/>
        <w:numFmt w:val="decimal"/>
        <w:lvlText w:val="%5."/>
        <w:lvlJc w:val="right"/>
        <w:pPr>
          <w:ind w:left="2500" w:hanging="180"/>
        </w:pPr>
      </w:lvl>
    </w:lvlOverride>
    <w:lvlOverride w:ilvl="5">
      <w:startOverride w:val="1"/>
      <w:lvl w:ilvl="5" w:tplc="57F608A0">
        <w:start w:val="1"/>
        <w:numFmt w:val="decimal"/>
        <w:lvlText w:val="%6."/>
        <w:lvlJc w:val="right"/>
        <w:pPr>
          <w:ind w:left="3000" w:hanging="180"/>
        </w:pPr>
      </w:lvl>
    </w:lvlOverride>
    <w:lvlOverride w:ilvl="6">
      <w:startOverride w:val="1"/>
      <w:lvl w:ilvl="6" w:tplc="599637F6">
        <w:start w:val="1"/>
        <w:numFmt w:val="decimal"/>
        <w:lvlText w:val="%7."/>
        <w:lvlJc w:val="right"/>
        <w:pPr>
          <w:ind w:left="3500" w:hanging="180"/>
        </w:pPr>
      </w:lvl>
    </w:lvlOverride>
    <w:lvlOverride w:ilvl="7">
      <w:startOverride w:val="1"/>
      <w:lvl w:ilvl="7" w:tplc="55A87F2C">
        <w:start w:val="1"/>
        <w:numFmt w:val="decimal"/>
        <w:lvlText w:val="%8."/>
        <w:lvlJc w:val="right"/>
        <w:pPr>
          <w:ind w:left="4000" w:hanging="180"/>
        </w:pPr>
      </w:lvl>
    </w:lvlOverride>
    <w:lvlOverride w:ilvl="8">
      <w:startOverride w:val="1"/>
      <w:lvl w:ilvl="8" w:tplc="3564AB66">
        <w:start w:val="1"/>
        <w:numFmt w:val="decimal"/>
        <w:lvlText w:val="%9."/>
        <w:lvlJc w:val="right"/>
        <w:pPr>
          <w:ind w:left="4500" w:hanging="180"/>
        </w:pPr>
      </w:lvl>
    </w:lvlOverride>
  </w:num>
  <w:num w:numId="18" w16cid:durableId="1521698203">
    <w:abstractNumId w:val="75"/>
    <w:lvlOverride w:ilvl="0">
      <w:startOverride w:val="1"/>
      <w:lvl w:ilvl="0" w:tplc="D67AA1A8">
        <w:start w:val="1"/>
        <w:numFmt w:val="bullet"/>
        <w:lvlText w:val=""/>
        <w:lvlJc w:val="right"/>
        <w:pPr>
          <w:ind w:left="500" w:hanging="180"/>
        </w:pPr>
        <w:rPr>
          <w:rFonts w:ascii="Symbol" w:hAnsi="Symbol" w:hint="default"/>
        </w:rPr>
      </w:lvl>
    </w:lvlOverride>
    <w:lvlOverride w:ilvl="1">
      <w:startOverride w:val="1"/>
      <w:lvl w:ilvl="1" w:tplc="4878A21C">
        <w:start w:val="1"/>
        <w:numFmt w:val="decimal"/>
        <w:lvlText w:val="%2."/>
        <w:lvlJc w:val="right"/>
        <w:pPr>
          <w:ind w:left="1000" w:hanging="180"/>
        </w:pPr>
      </w:lvl>
    </w:lvlOverride>
    <w:lvlOverride w:ilvl="2">
      <w:startOverride w:val="1"/>
      <w:lvl w:ilvl="2" w:tplc="A742FBF6">
        <w:start w:val="1"/>
        <w:numFmt w:val="decimal"/>
        <w:lvlText w:val="%3."/>
        <w:lvlJc w:val="right"/>
        <w:pPr>
          <w:ind w:left="1500" w:hanging="180"/>
        </w:pPr>
      </w:lvl>
    </w:lvlOverride>
    <w:lvlOverride w:ilvl="3">
      <w:startOverride w:val="1"/>
      <w:lvl w:ilvl="3" w:tplc="D5328DB4">
        <w:start w:val="1"/>
        <w:numFmt w:val="decimal"/>
        <w:lvlText w:val="%4."/>
        <w:lvlJc w:val="right"/>
        <w:pPr>
          <w:ind w:left="2000" w:hanging="180"/>
        </w:pPr>
      </w:lvl>
    </w:lvlOverride>
    <w:lvlOverride w:ilvl="4">
      <w:startOverride w:val="1"/>
      <w:lvl w:ilvl="4" w:tplc="DA78B878">
        <w:start w:val="1"/>
        <w:numFmt w:val="decimal"/>
        <w:lvlText w:val="%5."/>
        <w:lvlJc w:val="right"/>
        <w:pPr>
          <w:ind w:left="2500" w:hanging="180"/>
        </w:pPr>
      </w:lvl>
    </w:lvlOverride>
    <w:lvlOverride w:ilvl="5">
      <w:startOverride w:val="1"/>
      <w:lvl w:ilvl="5" w:tplc="45EC0370">
        <w:start w:val="1"/>
        <w:numFmt w:val="decimal"/>
        <w:lvlText w:val="%6."/>
        <w:lvlJc w:val="right"/>
        <w:pPr>
          <w:ind w:left="3000" w:hanging="180"/>
        </w:pPr>
      </w:lvl>
    </w:lvlOverride>
    <w:lvlOverride w:ilvl="6">
      <w:startOverride w:val="1"/>
      <w:lvl w:ilvl="6" w:tplc="189EB61C">
        <w:start w:val="1"/>
        <w:numFmt w:val="decimal"/>
        <w:lvlText w:val="%7."/>
        <w:lvlJc w:val="right"/>
        <w:pPr>
          <w:ind w:left="3500" w:hanging="180"/>
        </w:pPr>
      </w:lvl>
    </w:lvlOverride>
    <w:lvlOverride w:ilvl="7">
      <w:startOverride w:val="1"/>
      <w:lvl w:ilvl="7" w:tplc="E2A0BE12">
        <w:start w:val="1"/>
        <w:numFmt w:val="decimal"/>
        <w:lvlText w:val="%8."/>
        <w:lvlJc w:val="right"/>
        <w:pPr>
          <w:ind w:left="4000" w:hanging="180"/>
        </w:pPr>
      </w:lvl>
    </w:lvlOverride>
    <w:lvlOverride w:ilvl="8">
      <w:startOverride w:val="1"/>
      <w:lvl w:ilvl="8" w:tplc="3DCADFDC">
        <w:start w:val="1"/>
        <w:numFmt w:val="decimal"/>
        <w:lvlText w:val="%9."/>
        <w:lvlJc w:val="right"/>
        <w:pPr>
          <w:ind w:left="4500" w:hanging="180"/>
        </w:pPr>
      </w:lvl>
    </w:lvlOverride>
  </w:num>
  <w:num w:numId="19" w16cid:durableId="1728412847">
    <w:abstractNumId w:val="55"/>
    <w:lvlOverride w:ilvl="0">
      <w:startOverride w:val="1"/>
      <w:lvl w:ilvl="0" w:tplc="3DCE7096">
        <w:start w:val="1"/>
        <w:numFmt w:val="bullet"/>
        <w:lvlText w:val=""/>
        <w:lvlJc w:val="right"/>
        <w:pPr>
          <w:ind w:left="500" w:hanging="180"/>
        </w:pPr>
        <w:rPr>
          <w:rFonts w:ascii="Symbol" w:hAnsi="Symbol" w:hint="default"/>
        </w:rPr>
      </w:lvl>
    </w:lvlOverride>
    <w:lvlOverride w:ilvl="1">
      <w:startOverride w:val="1"/>
      <w:lvl w:ilvl="1" w:tplc="B1DE3D44">
        <w:start w:val="1"/>
        <w:numFmt w:val="decimal"/>
        <w:lvlText w:val="%2."/>
        <w:lvlJc w:val="right"/>
        <w:pPr>
          <w:ind w:left="1000" w:hanging="180"/>
        </w:pPr>
      </w:lvl>
    </w:lvlOverride>
    <w:lvlOverride w:ilvl="2">
      <w:startOverride w:val="1"/>
      <w:lvl w:ilvl="2" w:tplc="D7E8975C">
        <w:start w:val="1"/>
        <w:numFmt w:val="decimal"/>
        <w:lvlText w:val="%3."/>
        <w:lvlJc w:val="right"/>
        <w:pPr>
          <w:ind w:left="1500" w:hanging="180"/>
        </w:pPr>
      </w:lvl>
    </w:lvlOverride>
    <w:lvlOverride w:ilvl="3">
      <w:startOverride w:val="1"/>
      <w:lvl w:ilvl="3" w:tplc="1262B0B0">
        <w:start w:val="1"/>
        <w:numFmt w:val="decimal"/>
        <w:lvlText w:val="%4."/>
        <w:lvlJc w:val="right"/>
        <w:pPr>
          <w:ind w:left="2000" w:hanging="180"/>
        </w:pPr>
      </w:lvl>
    </w:lvlOverride>
    <w:lvlOverride w:ilvl="4">
      <w:startOverride w:val="1"/>
      <w:lvl w:ilvl="4" w:tplc="E892BA9A">
        <w:start w:val="1"/>
        <w:numFmt w:val="decimal"/>
        <w:lvlText w:val="%5."/>
        <w:lvlJc w:val="right"/>
        <w:pPr>
          <w:ind w:left="2500" w:hanging="180"/>
        </w:pPr>
      </w:lvl>
    </w:lvlOverride>
    <w:lvlOverride w:ilvl="5">
      <w:startOverride w:val="1"/>
      <w:lvl w:ilvl="5" w:tplc="2CC87336">
        <w:start w:val="1"/>
        <w:numFmt w:val="decimal"/>
        <w:lvlText w:val="%6."/>
        <w:lvlJc w:val="right"/>
        <w:pPr>
          <w:ind w:left="3000" w:hanging="180"/>
        </w:pPr>
      </w:lvl>
    </w:lvlOverride>
    <w:lvlOverride w:ilvl="6">
      <w:startOverride w:val="1"/>
      <w:lvl w:ilvl="6" w:tplc="65109D74">
        <w:start w:val="1"/>
        <w:numFmt w:val="decimal"/>
        <w:lvlText w:val="%7."/>
        <w:lvlJc w:val="right"/>
        <w:pPr>
          <w:ind w:left="3500" w:hanging="180"/>
        </w:pPr>
      </w:lvl>
    </w:lvlOverride>
    <w:lvlOverride w:ilvl="7">
      <w:startOverride w:val="1"/>
      <w:lvl w:ilvl="7" w:tplc="E772B302">
        <w:start w:val="1"/>
        <w:numFmt w:val="decimal"/>
        <w:lvlText w:val="%8."/>
        <w:lvlJc w:val="right"/>
        <w:pPr>
          <w:ind w:left="4000" w:hanging="180"/>
        </w:pPr>
      </w:lvl>
    </w:lvlOverride>
    <w:lvlOverride w:ilvl="8">
      <w:startOverride w:val="1"/>
      <w:lvl w:ilvl="8" w:tplc="D7F21AF0">
        <w:start w:val="1"/>
        <w:numFmt w:val="decimal"/>
        <w:lvlText w:val="%9."/>
        <w:lvlJc w:val="right"/>
        <w:pPr>
          <w:ind w:left="4500" w:hanging="180"/>
        </w:pPr>
      </w:lvl>
    </w:lvlOverride>
  </w:num>
  <w:num w:numId="20" w16cid:durableId="745416903">
    <w:abstractNumId w:val="34"/>
    <w:lvlOverride w:ilvl="0">
      <w:startOverride w:val="1"/>
      <w:lvl w:ilvl="0" w:tplc="2550E25A">
        <w:start w:val="1"/>
        <w:numFmt w:val="bullet"/>
        <w:lvlText w:val=""/>
        <w:lvlJc w:val="right"/>
        <w:pPr>
          <w:ind w:left="500" w:hanging="180"/>
        </w:pPr>
        <w:rPr>
          <w:rFonts w:ascii="Symbol" w:hAnsi="Symbol" w:hint="default"/>
        </w:rPr>
      </w:lvl>
    </w:lvlOverride>
    <w:lvlOverride w:ilvl="1">
      <w:startOverride w:val="1"/>
      <w:lvl w:ilvl="1" w:tplc="325C7892">
        <w:start w:val="1"/>
        <w:numFmt w:val="decimal"/>
        <w:lvlText w:val="%2."/>
        <w:lvlJc w:val="right"/>
        <w:pPr>
          <w:ind w:left="1000" w:hanging="180"/>
        </w:pPr>
      </w:lvl>
    </w:lvlOverride>
    <w:lvlOverride w:ilvl="2">
      <w:startOverride w:val="1"/>
      <w:lvl w:ilvl="2" w:tplc="E0AEFFD4">
        <w:start w:val="1"/>
        <w:numFmt w:val="decimal"/>
        <w:lvlText w:val="%3."/>
        <w:lvlJc w:val="right"/>
        <w:pPr>
          <w:ind w:left="1500" w:hanging="180"/>
        </w:pPr>
      </w:lvl>
    </w:lvlOverride>
    <w:lvlOverride w:ilvl="3">
      <w:startOverride w:val="1"/>
      <w:lvl w:ilvl="3" w:tplc="EB3CEF6C">
        <w:start w:val="1"/>
        <w:numFmt w:val="decimal"/>
        <w:lvlText w:val="%4."/>
        <w:lvlJc w:val="right"/>
        <w:pPr>
          <w:ind w:left="2000" w:hanging="180"/>
        </w:pPr>
      </w:lvl>
    </w:lvlOverride>
    <w:lvlOverride w:ilvl="4">
      <w:startOverride w:val="1"/>
      <w:lvl w:ilvl="4" w:tplc="BD32DCC0">
        <w:start w:val="1"/>
        <w:numFmt w:val="decimal"/>
        <w:lvlText w:val="%5."/>
        <w:lvlJc w:val="right"/>
        <w:pPr>
          <w:ind w:left="2500" w:hanging="180"/>
        </w:pPr>
      </w:lvl>
    </w:lvlOverride>
    <w:lvlOverride w:ilvl="5">
      <w:startOverride w:val="1"/>
      <w:lvl w:ilvl="5" w:tplc="322E9CF8">
        <w:start w:val="1"/>
        <w:numFmt w:val="decimal"/>
        <w:lvlText w:val="%6."/>
        <w:lvlJc w:val="right"/>
        <w:pPr>
          <w:ind w:left="3000" w:hanging="180"/>
        </w:pPr>
      </w:lvl>
    </w:lvlOverride>
    <w:lvlOverride w:ilvl="6">
      <w:startOverride w:val="1"/>
      <w:lvl w:ilvl="6" w:tplc="635411FC">
        <w:start w:val="1"/>
        <w:numFmt w:val="decimal"/>
        <w:lvlText w:val="%7."/>
        <w:lvlJc w:val="right"/>
        <w:pPr>
          <w:ind w:left="3500" w:hanging="180"/>
        </w:pPr>
      </w:lvl>
    </w:lvlOverride>
    <w:lvlOverride w:ilvl="7">
      <w:startOverride w:val="1"/>
      <w:lvl w:ilvl="7" w:tplc="6F7672B8">
        <w:start w:val="1"/>
        <w:numFmt w:val="decimal"/>
        <w:lvlText w:val="%8."/>
        <w:lvlJc w:val="right"/>
        <w:pPr>
          <w:ind w:left="4000" w:hanging="180"/>
        </w:pPr>
      </w:lvl>
    </w:lvlOverride>
    <w:lvlOverride w:ilvl="8">
      <w:startOverride w:val="1"/>
      <w:lvl w:ilvl="8" w:tplc="7736B628">
        <w:start w:val="1"/>
        <w:numFmt w:val="decimal"/>
        <w:lvlText w:val="%9."/>
        <w:lvlJc w:val="right"/>
        <w:pPr>
          <w:ind w:left="4500" w:hanging="180"/>
        </w:pPr>
      </w:lvl>
    </w:lvlOverride>
  </w:num>
  <w:num w:numId="21" w16cid:durableId="352923506">
    <w:abstractNumId w:val="19"/>
    <w:lvlOverride w:ilvl="0">
      <w:startOverride w:val="1"/>
      <w:lvl w:ilvl="0" w:tplc="42B44796">
        <w:start w:val="1"/>
        <w:numFmt w:val="bullet"/>
        <w:lvlText w:val=""/>
        <w:lvlJc w:val="right"/>
        <w:pPr>
          <w:ind w:left="500" w:hanging="180"/>
        </w:pPr>
        <w:rPr>
          <w:rFonts w:ascii="Symbol" w:hAnsi="Symbol" w:hint="default"/>
        </w:rPr>
      </w:lvl>
    </w:lvlOverride>
    <w:lvlOverride w:ilvl="1">
      <w:startOverride w:val="1"/>
      <w:lvl w:ilvl="1" w:tplc="B84A787C">
        <w:start w:val="1"/>
        <w:numFmt w:val="decimal"/>
        <w:lvlText w:val="%2."/>
        <w:lvlJc w:val="right"/>
        <w:pPr>
          <w:ind w:left="1000" w:hanging="180"/>
        </w:pPr>
      </w:lvl>
    </w:lvlOverride>
    <w:lvlOverride w:ilvl="2">
      <w:startOverride w:val="1"/>
      <w:lvl w:ilvl="2" w:tplc="AE14E734">
        <w:start w:val="1"/>
        <w:numFmt w:val="decimal"/>
        <w:lvlText w:val="%3."/>
        <w:lvlJc w:val="right"/>
        <w:pPr>
          <w:ind w:left="1500" w:hanging="180"/>
        </w:pPr>
      </w:lvl>
    </w:lvlOverride>
    <w:lvlOverride w:ilvl="3">
      <w:startOverride w:val="1"/>
      <w:lvl w:ilvl="3" w:tplc="3D00A532">
        <w:start w:val="1"/>
        <w:numFmt w:val="decimal"/>
        <w:lvlText w:val="%4."/>
        <w:lvlJc w:val="right"/>
        <w:pPr>
          <w:ind w:left="2000" w:hanging="180"/>
        </w:pPr>
      </w:lvl>
    </w:lvlOverride>
    <w:lvlOverride w:ilvl="4">
      <w:startOverride w:val="1"/>
      <w:lvl w:ilvl="4" w:tplc="00A05108">
        <w:start w:val="1"/>
        <w:numFmt w:val="decimal"/>
        <w:lvlText w:val="%5."/>
        <w:lvlJc w:val="right"/>
        <w:pPr>
          <w:ind w:left="2500" w:hanging="180"/>
        </w:pPr>
      </w:lvl>
    </w:lvlOverride>
    <w:lvlOverride w:ilvl="5">
      <w:startOverride w:val="1"/>
      <w:lvl w:ilvl="5" w:tplc="32E256B2">
        <w:start w:val="1"/>
        <w:numFmt w:val="decimal"/>
        <w:lvlText w:val="%6."/>
        <w:lvlJc w:val="right"/>
        <w:pPr>
          <w:ind w:left="3000" w:hanging="180"/>
        </w:pPr>
      </w:lvl>
    </w:lvlOverride>
    <w:lvlOverride w:ilvl="6">
      <w:startOverride w:val="1"/>
      <w:lvl w:ilvl="6" w:tplc="3C70171E">
        <w:start w:val="1"/>
        <w:numFmt w:val="decimal"/>
        <w:lvlText w:val="%7."/>
        <w:lvlJc w:val="right"/>
        <w:pPr>
          <w:ind w:left="3500" w:hanging="180"/>
        </w:pPr>
      </w:lvl>
    </w:lvlOverride>
    <w:lvlOverride w:ilvl="7">
      <w:startOverride w:val="1"/>
      <w:lvl w:ilvl="7" w:tplc="6032C11A">
        <w:start w:val="1"/>
        <w:numFmt w:val="decimal"/>
        <w:lvlText w:val="%8."/>
        <w:lvlJc w:val="right"/>
        <w:pPr>
          <w:ind w:left="4000" w:hanging="180"/>
        </w:pPr>
      </w:lvl>
    </w:lvlOverride>
    <w:lvlOverride w:ilvl="8">
      <w:startOverride w:val="1"/>
      <w:lvl w:ilvl="8" w:tplc="B626434C">
        <w:start w:val="1"/>
        <w:numFmt w:val="decimal"/>
        <w:lvlText w:val="%9."/>
        <w:lvlJc w:val="right"/>
        <w:pPr>
          <w:ind w:left="4500" w:hanging="180"/>
        </w:pPr>
      </w:lvl>
    </w:lvlOverride>
  </w:num>
  <w:num w:numId="22" w16cid:durableId="1736665348">
    <w:abstractNumId w:val="17"/>
    <w:lvlOverride w:ilvl="0">
      <w:startOverride w:val="1"/>
      <w:lvl w:ilvl="0" w:tplc="86169EF8">
        <w:start w:val="1"/>
        <w:numFmt w:val="bullet"/>
        <w:lvlText w:val=""/>
        <w:lvlJc w:val="right"/>
        <w:pPr>
          <w:ind w:left="500" w:hanging="180"/>
        </w:pPr>
        <w:rPr>
          <w:rFonts w:ascii="Symbol" w:hAnsi="Symbol" w:hint="default"/>
        </w:rPr>
      </w:lvl>
    </w:lvlOverride>
    <w:lvlOverride w:ilvl="1">
      <w:startOverride w:val="1"/>
      <w:lvl w:ilvl="1" w:tplc="3654AEE0">
        <w:start w:val="1"/>
        <w:numFmt w:val="decimal"/>
        <w:lvlText w:val="%2."/>
        <w:lvlJc w:val="right"/>
        <w:pPr>
          <w:ind w:left="1000" w:hanging="180"/>
        </w:pPr>
      </w:lvl>
    </w:lvlOverride>
    <w:lvlOverride w:ilvl="2">
      <w:startOverride w:val="1"/>
      <w:lvl w:ilvl="2" w:tplc="53229EDE">
        <w:start w:val="1"/>
        <w:numFmt w:val="decimal"/>
        <w:lvlText w:val="%3."/>
        <w:lvlJc w:val="right"/>
        <w:pPr>
          <w:ind w:left="1500" w:hanging="180"/>
        </w:pPr>
      </w:lvl>
    </w:lvlOverride>
    <w:lvlOverride w:ilvl="3">
      <w:startOverride w:val="1"/>
      <w:lvl w:ilvl="3" w:tplc="2362AEF0">
        <w:start w:val="1"/>
        <w:numFmt w:val="decimal"/>
        <w:lvlText w:val="%4."/>
        <w:lvlJc w:val="right"/>
        <w:pPr>
          <w:ind w:left="2000" w:hanging="180"/>
        </w:pPr>
      </w:lvl>
    </w:lvlOverride>
    <w:lvlOverride w:ilvl="4">
      <w:startOverride w:val="1"/>
      <w:lvl w:ilvl="4" w:tplc="AB4AB0A6">
        <w:start w:val="1"/>
        <w:numFmt w:val="decimal"/>
        <w:lvlText w:val="%5."/>
        <w:lvlJc w:val="right"/>
        <w:pPr>
          <w:ind w:left="2500" w:hanging="180"/>
        </w:pPr>
      </w:lvl>
    </w:lvlOverride>
    <w:lvlOverride w:ilvl="5">
      <w:startOverride w:val="1"/>
      <w:lvl w:ilvl="5" w:tplc="436CE9C6">
        <w:start w:val="1"/>
        <w:numFmt w:val="decimal"/>
        <w:lvlText w:val="%6."/>
        <w:lvlJc w:val="right"/>
        <w:pPr>
          <w:ind w:left="3000" w:hanging="180"/>
        </w:pPr>
      </w:lvl>
    </w:lvlOverride>
    <w:lvlOverride w:ilvl="6">
      <w:startOverride w:val="1"/>
      <w:lvl w:ilvl="6" w:tplc="1270D2AA">
        <w:start w:val="1"/>
        <w:numFmt w:val="decimal"/>
        <w:lvlText w:val="%7."/>
        <w:lvlJc w:val="right"/>
        <w:pPr>
          <w:ind w:left="3500" w:hanging="180"/>
        </w:pPr>
      </w:lvl>
    </w:lvlOverride>
    <w:lvlOverride w:ilvl="7">
      <w:startOverride w:val="1"/>
      <w:lvl w:ilvl="7" w:tplc="5CE2C336">
        <w:start w:val="1"/>
        <w:numFmt w:val="decimal"/>
        <w:lvlText w:val="%8."/>
        <w:lvlJc w:val="right"/>
        <w:pPr>
          <w:ind w:left="4000" w:hanging="180"/>
        </w:pPr>
      </w:lvl>
    </w:lvlOverride>
    <w:lvlOverride w:ilvl="8">
      <w:startOverride w:val="1"/>
      <w:lvl w:ilvl="8" w:tplc="83D4D432">
        <w:start w:val="1"/>
        <w:numFmt w:val="decimal"/>
        <w:lvlText w:val="%9."/>
        <w:lvlJc w:val="right"/>
        <w:pPr>
          <w:ind w:left="4500" w:hanging="180"/>
        </w:pPr>
      </w:lvl>
    </w:lvlOverride>
  </w:num>
  <w:num w:numId="23" w16cid:durableId="237252531">
    <w:abstractNumId w:val="71"/>
    <w:lvlOverride w:ilvl="0">
      <w:startOverride w:val="1"/>
      <w:lvl w:ilvl="0" w:tplc="38768E48">
        <w:start w:val="1"/>
        <w:numFmt w:val="bullet"/>
        <w:lvlText w:val=""/>
        <w:lvlJc w:val="right"/>
        <w:pPr>
          <w:ind w:left="500" w:hanging="180"/>
        </w:pPr>
        <w:rPr>
          <w:rFonts w:ascii="Symbol" w:hAnsi="Symbol" w:hint="default"/>
        </w:rPr>
      </w:lvl>
    </w:lvlOverride>
    <w:lvlOverride w:ilvl="1">
      <w:startOverride w:val="1"/>
      <w:lvl w:ilvl="1" w:tplc="E090965A">
        <w:start w:val="1"/>
        <w:numFmt w:val="decimal"/>
        <w:lvlText w:val="%2."/>
        <w:lvlJc w:val="right"/>
        <w:pPr>
          <w:ind w:left="1000" w:hanging="180"/>
        </w:pPr>
      </w:lvl>
    </w:lvlOverride>
    <w:lvlOverride w:ilvl="2">
      <w:startOverride w:val="1"/>
      <w:lvl w:ilvl="2" w:tplc="7CFE9924">
        <w:start w:val="1"/>
        <w:numFmt w:val="decimal"/>
        <w:lvlText w:val="%3."/>
        <w:lvlJc w:val="right"/>
        <w:pPr>
          <w:ind w:left="1500" w:hanging="180"/>
        </w:pPr>
      </w:lvl>
    </w:lvlOverride>
    <w:lvlOverride w:ilvl="3">
      <w:startOverride w:val="1"/>
      <w:lvl w:ilvl="3" w:tplc="7458E16E">
        <w:start w:val="1"/>
        <w:numFmt w:val="decimal"/>
        <w:lvlText w:val="%4."/>
        <w:lvlJc w:val="right"/>
        <w:pPr>
          <w:ind w:left="2000" w:hanging="180"/>
        </w:pPr>
      </w:lvl>
    </w:lvlOverride>
    <w:lvlOverride w:ilvl="4">
      <w:startOverride w:val="1"/>
      <w:lvl w:ilvl="4" w:tplc="E8EA0F00">
        <w:start w:val="1"/>
        <w:numFmt w:val="decimal"/>
        <w:lvlText w:val="%5."/>
        <w:lvlJc w:val="right"/>
        <w:pPr>
          <w:ind w:left="2500" w:hanging="180"/>
        </w:pPr>
      </w:lvl>
    </w:lvlOverride>
    <w:lvlOverride w:ilvl="5">
      <w:startOverride w:val="1"/>
      <w:lvl w:ilvl="5" w:tplc="C6CE481A">
        <w:start w:val="1"/>
        <w:numFmt w:val="decimal"/>
        <w:lvlText w:val="%6."/>
        <w:lvlJc w:val="right"/>
        <w:pPr>
          <w:ind w:left="3000" w:hanging="180"/>
        </w:pPr>
      </w:lvl>
    </w:lvlOverride>
    <w:lvlOverride w:ilvl="6">
      <w:startOverride w:val="1"/>
      <w:lvl w:ilvl="6" w:tplc="82AA1676">
        <w:start w:val="1"/>
        <w:numFmt w:val="decimal"/>
        <w:lvlText w:val="%7."/>
        <w:lvlJc w:val="right"/>
        <w:pPr>
          <w:ind w:left="3500" w:hanging="180"/>
        </w:pPr>
      </w:lvl>
    </w:lvlOverride>
    <w:lvlOverride w:ilvl="7">
      <w:startOverride w:val="1"/>
      <w:lvl w:ilvl="7" w:tplc="33022EA8">
        <w:start w:val="1"/>
        <w:numFmt w:val="decimal"/>
        <w:lvlText w:val="%8."/>
        <w:lvlJc w:val="right"/>
        <w:pPr>
          <w:ind w:left="4000" w:hanging="180"/>
        </w:pPr>
      </w:lvl>
    </w:lvlOverride>
    <w:lvlOverride w:ilvl="8">
      <w:startOverride w:val="1"/>
      <w:lvl w:ilvl="8" w:tplc="3C9A43EC">
        <w:start w:val="1"/>
        <w:numFmt w:val="decimal"/>
        <w:lvlText w:val="%9."/>
        <w:lvlJc w:val="right"/>
        <w:pPr>
          <w:ind w:left="4500" w:hanging="180"/>
        </w:pPr>
      </w:lvl>
    </w:lvlOverride>
  </w:num>
  <w:num w:numId="24" w16cid:durableId="725691005">
    <w:abstractNumId w:val="61"/>
    <w:lvlOverride w:ilvl="0">
      <w:startOverride w:val="1"/>
      <w:lvl w:ilvl="0" w:tplc="6512E9BC">
        <w:start w:val="1"/>
        <w:numFmt w:val="bullet"/>
        <w:lvlText w:val=""/>
        <w:lvlJc w:val="right"/>
        <w:pPr>
          <w:ind w:left="500" w:hanging="180"/>
        </w:pPr>
        <w:rPr>
          <w:rFonts w:ascii="Symbol" w:hAnsi="Symbol" w:hint="default"/>
        </w:rPr>
      </w:lvl>
    </w:lvlOverride>
    <w:lvlOverride w:ilvl="1">
      <w:startOverride w:val="1"/>
      <w:lvl w:ilvl="1" w:tplc="65606E04">
        <w:start w:val="1"/>
        <w:numFmt w:val="decimal"/>
        <w:lvlText w:val="%2."/>
        <w:lvlJc w:val="right"/>
        <w:pPr>
          <w:ind w:left="1000" w:hanging="180"/>
        </w:pPr>
      </w:lvl>
    </w:lvlOverride>
    <w:lvlOverride w:ilvl="2">
      <w:startOverride w:val="1"/>
      <w:lvl w:ilvl="2" w:tplc="034A9A46">
        <w:start w:val="1"/>
        <w:numFmt w:val="decimal"/>
        <w:lvlText w:val="%3."/>
        <w:lvlJc w:val="right"/>
        <w:pPr>
          <w:ind w:left="1500" w:hanging="180"/>
        </w:pPr>
      </w:lvl>
    </w:lvlOverride>
    <w:lvlOverride w:ilvl="3">
      <w:startOverride w:val="1"/>
      <w:lvl w:ilvl="3" w:tplc="DB587850">
        <w:start w:val="1"/>
        <w:numFmt w:val="decimal"/>
        <w:lvlText w:val="%4."/>
        <w:lvlJc w:val="right"/>
        <w:pPr>
          <w:ind w:left="2000" w:hanging="180"/>
        </w:pPr>
      </w:lvl>
    </w:lvlOverride>
    <w:lvlOverride w:ilvl="4">
      <w:startOverride w:val="1"/>
      <w:lvl w:ilvl="4" w:tplc="121650EA">
        <w:start w:val="1"/>
        <w:numFmt w:val="decimal"/>
        <w:lvlText w:val="%5."/>
        <w:lvlJc w:val="right"/>
        <w:pPr>
          <w:ind w:left="2500" w:hanging="180"/>
        </w:pPr>
      </w:lvl>
    </w:lvlOverride>
    <w:lvlOverride w:ilvl="5">
      <w:startOverride w:val="1"/>
      <w:lvl w:ilvl="5" w:tplc="7BDE7F88">
        <w:start w:val="1"/>
        <w:numFmt w:val="decimal"/>
        <w:lvlText w:val="%6."/>
        <w:lvlJc w:val="right"/>
        <w:pPr>
          <w:ind w:left="3000" w:hanging="180"/>
        </w:pPr>
      </w:lvl>
    </w:lvlOverride>
    <w:lvlOverride w:ilvl="6">
      <w:startOverride w:val="1"/>
      <w:lvl w:ilvl="6" w:tplc="EA76588C">
        <w:start w:val="1"/>
        <w:numFmt w:val="decimal"/>
        <w:lvlText w:val="%7."/>
        <w:lvlJc w:val="right"/>
        <w:pPr>
          <w:ind w:left="3500" w:hanging="180"/>
        </w:pPr>
      </w:lvl>
    </w:lvlOverride>
    <w:lvlOverride w:ilvl="7">
      <w:startOverride w:val="1"/>
      <w:lvl w:ilvl="7" w:tplc="478AD7F0">
        <w:start w:val="1"/>
        <w:numFmt w:val="decimal"/>
        <w:lvlText w:val="%8."/>
        <w:lvlJc w:val="right"/>
        <w:pPr>
          <w:ind w:left="4000" w:hanging="180"/>
        </w:pPr>
      </w:lvl>
    </w:lvlOverride>
    <w:lvlOverride w:ilvl="8">
      <w:startOverride w:val="1"/>
      <w:lvl w:ilvl="8" w:tplc="A0A08EC0">
        <w:start w:val="1"/>
        <w:numFmt w:val="decimal"/>
        <w:lvlText w:val="%9."/>
        <w:lvlJc w:val="right"/>
        <w:pPr>
          <w:ind w:left="4500" w:hanging="180"/>
        </w:pPr>
      </w:lvl>
    </w:lvlOverride>
  </w:num>
  <w:num w:numId="25" w16cid:durableId="959990913">
    <w:abstractNumId w:val="78"/>
    <w:lvlOverride w:ilvl="0">
      <w:startOverride w:val="1"/>
      <w:lvl w:ilvl="0" w:tplc="5B1A8822">
        <w:start w:val="1"/>
        <w:numFmt w:val="bullet"/>
        <w:lvlText w:val=""/>
        <w:lvlJc w:val="right"/>
        <w:pPr>
          <w:ind w:left="500" w:hanging="180"/>
        </w:pPr>
        <w:rPr>
          <w:rFonts w:ascii="Symbol" w:hAnsi="Symbol" w:hint="default"/>
        </w:rPr>
      </w:lvl>
    </w:lvlOverride>
    <w:lvlOverride w:ilvl="1">
      <w:startOverride w:val="1"/>
      <w:lvl w:ilvl="1" w:tplc="E0C0E8E0">
        <w:start w:val="1"/>
        <w:numFmt w:val="decimal"/>
        <w:lvlText w:val="%2."/>
        <w:lvlJc w:val="right"/>
        <w:pPr>
          <w:ind w:left="1000" w:hanging="180"/>
        </w:pPr>
      </w:lvl>
    </w:lvlOverride>
    <w:lvlOverride w:ilvl="2">
      <w:startOverride w:val="1"/>
      <w:lvl w:ilvl="2" w:tplc="A15E1720">
        <w:start w:val="1"/>
        <w:numFmt w:val="decimal"/>
        <w:lvlText w:val="%3."/>
        <w:lvlJc w:val="right"/>
        <w:pPr>
          <w:ind w:left="1500" w:hanging="180"/>
        </w:pPr>
      </w:lvl>
    </w:lvlOverride>
    <w:lvlOverride w:ilvl="3">
      <w:startOverride w:val="1"/>
      <w:lvl w:ilvl="3" w:tplc="664CDB94">
        <w:start w:val="1"/>
        <w:numFmt w:val="decimal"/>
        <w:lvlText w:val="%4."/>
        <w:lvlJc w:val="right"/>
        <w:pPr>
          <w:ind w:left="2000" w:hanging="180"/>
        </w:pPr>
      </w:lvl>
    </w:lvlOverride>
    <w:lvlOverride w:ilvl="4">
      <w:startOverride w:val="1"/>
      <w:lvl w:ilvl="4" w:tplc="77567AB2">
        <w:start w:val="1"/>
        <w:numFmt w:val="decimal"/>
        <w:lvlText w:val="%5."/>
        <w:lvlJc w:val="right"/>
        <w:pPr>
          <w:ind w:left="2500" w:hanging="180"/>
        </w:pPr>
      </w:lvl>
    </w:lvlOverride>
    <w:lvlOverride w:ilvl="5">
      <w:startOverride w:val="1"/>
      <w:lvl w:ilvl="5" w:tplc="8CDEB454">
        <w:start w:val="1"/>
        <w:numFmt w:val="decimal"/>
        <w:lvlText w:val="%6."/>
        <w:lvlJc w:val="right"/>
        <w:pPr>
          <w:ind w:left="3000" w:hanging="180"/>
        </w:pPr>
      </w:lvl>
    </w:lvlOverride>
    <w:lvlOverride w:ilvl="6">
      <w:startOverride w:val="1"/>
      <w:lvl w:ilvl="6" w:tplc="AA18E9AC">
        <w:start w:val="1"/>
        <w:numFmt w:val="decimal"/>
        <w:lvlText w:val="%7."/>
        <w:lvlJc w:val="right"/>
        <w:pPr>
          <w:ind w:left="3500" w:hanging="180"/>
        </w:pPr>
      </w:lvl>
    </w:lvlOverride>
    <w:lvlOverride w:ilvl="7">
      <w:startOverride w:val="1"/>
      <w:lvl w:ilvl="7" w:tplc="ED5EBE7E">
        <w:start w:val="1"/>
        <w:numFmt w:val="decimal"/>
        <w:lvlText w:val="%8."/>
        <w:lvlJc w:val="right"/>
        <w:pPr>
          <w:ind w:left="4000" w:hanging="180"/>
        </w:pPr>
      </w:lvl>
    </w:lvlOverride>
    <w:lvlOverride w:ilvl="8">
      <w:startOverride w:val="1"/>
      <w:lvl w:ilvl="8" w:tplc="70700BB8">
        <w:start w:val="1"/>
        <w:numFmt w:val="decimal"/>
        <w:lvlText w:val="%9."/>
        <w:lvlJc w:val="right"/>
        <w:pPr>
          <w:ind w:left="4500" w:hanging="180"/>
        </w:pPr>
      </w:lvl>
    </w:lvlOverride>
  </w:num>
  <w:num w:numId="26" w16cid:durableId="658506627">
    <w:abstractNumId w:val="20"/>
    <w:lvlOverride w:ilvl="0">
      <w:startOverride w:val="1"/>
      <w:lvl w:ilvl="0" w:tplc="D7D46D6A">
        <w:start w:val="1"/>
        <w:numFmt w:val="bullet"/>
        <w:lvlText w:val=""/>
        <w:lvlJc w:val="right"/>
        <w:pPr>
          <w:ind w:left="500" w:hanging="180"/>
        </w:pPr>
        <w:rPr>
          <w:rFonts w:ascii="Symbol" w:hAnsi="Symbol" w:hint="default"/>
        </w:rPr>
      </w:lvl>
    </w:lvlOverride>
    <w:lvlOverride w:ilvl="1">
      <w:startOverride w:val="1"/>
      <w:lvl w:ilvl="1" w:tplc="1CE4B762">
        <w:start w:val="1"/>
        <w:numFmt w:val="decimal"/>
        <w:lvlText w:val="%2."/>
        <w:lvlJc w:val="right"/>
        <w:pPr>
          <w:ind w:left="1000" w:hanging="180"/>
        </w:pPr>
      </w:lvl>
    </w:lvlOverride>
    <w:lvlOverride w:ilvl="2">
      <w:startOverride w:val="1"/>
      <w:lvl w:ilvl="2" w:tplc="9D50A11A">
        <w:start w:val="1"/>
        <w:numFmt w:val="decimal"/>
        <w:lvlText w:val="%3."/>
        <w:lvlJc w:val="right"/>
        <w:pPr>
          <w:ind w:left="1500" w:hanging="180"/>
        </w:pPr>
      </w:lvl>
    </w:lvlOverride>
    <w:lvlOverride w:ilvl="3">
      <w:startOverride w:val="1"/>
      <w:lvl w:ilvl="3" w:tplc="FDD8E51A">
        <w:start w:val="1"/>
        <w:numFmt w:val="decimal"/>
        <w:lvlText w:val="%4."/>
        <w:lvlJc w:val="right"/>
        <w:pPr>
          <w:ind w:left="2000" w:hanging="180"/>
        </w:pPr>
      </w:lvl>
    </w:lvlOverride>
    <w:lvlOverride w:ilvl="4">
      <w:startOverride w:val="1"/>
      <w:lvl w:ilvl="4" w:tplc="9B72133C">
        <w:start w:val="1"/>
        <w:numFmt w:val="decimal"/>
        <w:lvlText w:val="%5."/>
        <w:lvlJc w:val="right"/>
        <w:pPr>
          <w:ind w:left="2500" w:hanging="180"/>
        </w:pPr>
      </w:lvl>
    </w:lvlOverride>
    <w:lvlOverride w:ilvl="5">
      <w:startOverride w:val="1"/>
      <w:lvl w:ilvl="5" w:tplc="46B02E16">
        <w:start w:val="1"/>
        <w:numFmt w:val="decimal"/>
        <w:lvlText w:val="%6."/>
        <w:lvlJc w:val="right"/>
        <w:pPr>
          <w:ind w:left="3000" w:hanging="180"/>
        </w:pPr>
      </w:lvl>
    </w:lvlOverride>
    <w:lvlOverride w:ilvl="6">
      <w:startOverride w:val="1"/>
      <w:lvl w:ilvl="6" w:tplc="8B92F084">
        <w:start w:val="1"/>
        <w:numFmt w:val="decimal"/>
        <w:lvlText w:val="%7."/>
        <w:lvlJc w:val="right"/>
        <w:pPr>
          <w:ind w:left="3500" w:hanging="180"/>
        </w:pPr>
      </w:lvl>
    </w:lvlOverride>
    <w:lvlOverride w:ilvl="7">
      <w:startOverride w:val="1"/>
      <w:lvl w:ilvl="7" w:tplc="B0121BB6">
        <w:start w:val="1"/>
        <w:numFmt w:val="decimal"/>
        <w:lvlText w:val="%8."/>
        <w:lvlJc w:val="right"/>
        <w:pPr>
          <w:ind w:left="4000" w:hanging="180"/>
        </w:pPr>
      </w:lvl>
    </w:lvlOverride>
    <w:lvlOverride w:ilvl="8">
      <w:startOverride w:val="1"/>
      <w:lvl w:ilvl="8" w:tplc="5BC28360">
        <w:start w:val="1"/>
        <w:numFmt w:val="decimal"/>
        <w:lvlText w:val="%9."/>
        <w:lvlJc w:val="right"/>
        <w:pPr>
          <w:ind w:left="4500" w:hanging="180"/>
        </w:pPr>
      </w:lvl>
    </w:lvlOverride>
  </w:num>
  <w:num w:numId="27" w16cid:durableId="1513226403">
    <w:abstractNumId w:val="79"/>
    <w:lvlOverride w:ilvl="0">
      <w:startOverride w:val="1"/>
      <w:lvl w:ilvl="0" w:tplc="2850CF78">
        <w:start w:val="1"/>
        <w:numFmt w:val="bullet"/>
        <w:lvlText w:val=""/>
        <w:lvlJc w:val="right"/>
        <w:pPr>
          <w:ind w:left="500" w:hanging="180"/>
        </w:pPr>
        <w:rPr>
          <w:rFonts w:ascii="Symbol" w:hAnsi="Symbol" w:hint="default"/>
        </w:rPr>
      </w:lvl>
    </w:lvlOverride>
    <w:lvlOverride w:ilvl="1">
      <w:startOverride w:val="1"/>
      <w:lvl w:ilvl="1" w:tplc="B7CE0380">
        <w:start w:val="1"/>
        <w:numFmt w:val="decimal"/>
        <w:lvlText w:val="%2."/>
        <w:lvlJc w:val="right"/>
        <w:pPr>
          <w:ind w:left="1000" w:hanging="180"/>
        </w:pPr>
      </w:lvl>
    </w:lvlOverride>
    <w:lvlOverride w:ilvl="2">
      <w:startOverride w:val="1"/>
      <w:lvl w:ilvl="2" w:tplc="AB8C9BA4">
        <w:start w:val="1"/>
        <w:numFmt w:val="decimal"/>
        <w:lvlText w:val="%3."/>
        <w:lvlJc w:val="right"/>
        <w:pPr>
          <w:ind w:left="1500" w:hanging="180"/>
        </w:pPr>
      </w:lvl>
    </w:lvlOverride>
    <w:lvlOverride w:ilvl="3">
      <w:startOverride w:val="1"/>
      <w:lvl w:ilvl="3" w:tplc="63A4E142">
        <w:start w:val="1"/>
        <w:numFmt w:val="decimal"/>
        <w:lvlText w:val="%4."/>
        <w:lvlJc w:val="right"/>
        <w:pPr>
          <w:ind w:left="2000" w:hanging="180"/>
        </w:pPr>
      </w:lvl>
    </w:lvlOverride>
    <w:lvlOverride w:ilvl="4">
      <w:startOverride w:val="1"/>
      <w:lvl w:ilvl="4" w:tplc="6374E022">
        <w:start w:val="1"/>
        <w:numFmt w:val="decimal"/>
        <w:lvlText w:val="%5."/>
        <w:lvlJc w:val="right"/>
        <w:pPr>
          <w:ind w:left="2500" w:hanging="180"/>
        </w:pPr>
      </w:lvl>
    </w:lvlOverride>
    <w:lvlOverride w:ilvl="5">
      <w:startOverride w:val="1"/>
      <w:lvl w:ilvl="5" w:tplc="338AC47C">
        <w:start w:val="1"/>
        <w:numFmt w:val="decimal"/>
        <w:lvlText w:val="%6."/>
        <w:lvlJc w:val="right"/>
        <w:pPr>
          <w:ind w:left="3000" w:hanging="180"/>
        </w:pPr>
      </w:lvl>
    </w:lvlOverride>
    <w:lvlOverride w:ilvl="6">
      <w:startOverride w:val="1"/>
      <w:lvl w:ilvl="6" w:tplc="6A96533C">
        <w:start w:val="1"/>
        <w:numFmt w:val="decimal"/>
        <w:lvlText w:val="%7."/>
        <w:lvlJc w:val="right"/>
        <w:pPr>
          <w:ind w:left="3500" w:hanging="180"/>
        </w:pPr>
      </w:lvl>
    </w:lvlOverride>
    <w:lvlOverride w:ilvl="7">
      <w:startOverride w:val="1"/>
      <w:lvl w:ilvl="7" w:tplc="8A265DA2">
        <w:start w:val="1"/>
        <w:numFmt w:val="decimal"/>
        <w:lvlText w:val="%8."/>
        <w:lvlJc w:val="right"/>
        <w:pPr>
          <w:ind w:left="4000" w:hanging="180"/>
        </w:pPr>
      </w:lvl>
    </w:lvlOverride>
    <w:lvlOverride w:ilvl="8">
      <w:startOverride w:val="1"/>
      <w:lvl w:ilvl="8" w:tplc="A880D850">
        <w:start w:val="1"/>
        <w:numFmt w:val="decimal"/>
        <w:lvlText w:val="%9."/>
        <w:lvlJc w:val="right"/>
        <w:pPr>
          <w:ind w:left="4500" w:hanging="180"/>
        </w:pPr>
      </w:lvl>
    </w:lvlOverride>
  </w:num>
  <w:num w:numId="28" w16cid:durableId="539055159">
    <w:abstractNumId w:val="57"/>
    <w:lvlOverride w:ilvl="0">
      <w:startOverride w:val="1"/>
      <w:lvl w:ilvl="0" w:tplc="637CE932">
        <w:start w:val="1"/>
        <w:numFmt w:val="bullet"/>
        <w:lvlText w:val=""/>
        <w:lvlJc w:val="right"/>
        <w:pPr>
          <w:ind w:left="500" w:hanging="180"/>
        </w:pPr>
        <w:rPr>
          <w:rFonts w:ascii="Symbol" w:hAnsi="Symbol" w:hint="default"/>
        </w:rPr>
      </w:lvl>
    </w:lvlOverride>
    <w:lvlOverride w:ilvl="1">
      <w:startOverride w:val="1"/>
      <w:lvl w:ilvl="1" w:tplc="E826B614">
        <w:start w:val="1"/>
        <w:numFmt w:val="decimal"/>
        <w:lvlText w:val="%2."/>
        <w:lvlJc w:val="right"/>
        <w:pPr>
          <w:ind w:left="1000" w:hanging="180"/>
        </w:pPr>
      </w:lvl>
    </w:lvlOverride>
    <w:lvlOverride w:ilvl="2">
      <w:startOverride w:val="1"/>
      <w:lvl w:ilvl="2" w:tplc="95D6D244">
        <w:start w:val="1"/>
        <w:numFmt w:val="decimal"/>
        <w:lvlText w:val="%3."/>
        <w:lvlJc w:val="right"/>
        <w:pPr>
          <w:ind w:left="1500" w:hanging="180"/>
        </w:pPr>
      </w:lvl>
    </w:lvlOverride>
    <w:lvlOverride w:ilvl="3">
      <w:startOverride w:val="1"/>
      <w:lvl w:ilvl="3" w:tplc="21D0B430">
        <w:start w:val="1"/>
        <w:numFmt w:val="decimal"/>
        <w:lvlText w:val="%4."/>
        <w:lvlJc w:val="right"/>
        <w:pPr>
          <w:ind w:left="2000" w:hanging="180"/>
        </w:pPr>
      </w:lvl>
    </w:lvlOverride>
    <w:lvlOverride w:ilvl="4">
      <w:startOverride w:val="1"/>
      <w:lvl w:ilvl="4" w:tplc="11DCA2C4">
        <w:start w:val="1"/>
        <w:numFmt w:val="decimal"/>
        <w:lvlText w:val="%5."/>
        <w:lvlJc w:val="right"/>
        <w:pPr>
          <w:ind w:left="2500" w:hanging="180"/>
        </w:pPr>
      </w:lvl>
    </w:lvlOverride>
    <w:lvlOverride w:ilvl="5">
      <w:startOverride w:val="1"/>
      <w:lvl w:ilvl="5" w:tplc="ADD44870">
        <w:start w:val="1"/>
        <w:numFmt w:val="decimal"/>
        <w:lvlText w:val="%6."/>
        <w:lvlJc w:val="right"/>
        <w:pPr>
          <w:ind w:left="3000" w:hanging="180"/>
        </w:pPr>
      </w:lvl>
    </w:lvlOverride>
    <w:lvlOverride w:ilvl="6">
      <w:startOverride w:val="1"/>
      <w:lvl w:ilvl="6" w:tplc="7B9A57D6">
        <w:start w:val="1"/>
        <w:numFmt w:val="decimal"/>
        <w:lvlText w:val="%7."/>
        <w:lvlJc w:val="right"/>
        <w:pPr>
          <w:ind w:left="3500" w:hanging="180"/>
        </w:pPr>
      </w:lvl>
    </w:lvlOverride>
    <w:lvlOverride w:ilvl="7">
      <w:startOverride w:val="1"/>
      <w:lvl w:ilvl="7" w:tplc="35569DEC">
        <w:start w:val="1"/>
        <w:numFmt w:val="decimal"/>
        <w:lvlText w:val="%8."/>
        <w:lvlJc w:val="right"/>
        <w:pPr>
          <w:ind w:left="4000" w:hanging="180"/>
        </w:pPr>
      </w:lvl>
    </w:lvlOverride>
    <w:lvlOverride w:ilvl="8">
      <w:startOverride w:val="1"/>
      <w:lvl w:ilvl="8" w:tplc="EE001006">
        <w:start w:val="1"/>
        <w:numFmt w:val="decimal"/>
        <w:lvlText w:val="%9."/>
        <w:lvlJc w:val="right"/>
        <w:pPr>
          <w:ind w:left="4500" w:hanging="180"/>
        </w:pPr>
      </w:lvl>
    </w:lvlOverride>
  </w:num>
  <w:num w:numId="29" w16cid:durableId="1661301469">
    <w:abstractNumId w:val="41"/>
    <w:lvlOverride w:ilvl="0">
      <w:startOverride w:val="1"/>
      <w:lvl w:ilvl="0" w:tplc="F8684F6C">
        <w:start w:val="1"/>
        <w:numFmt w:val="bullet"/>
        <w:lvlText w:val=""/>
        <w:lvlJc w:val="right"/>
        <w:pPr>
          <w:ind w:left="500" w:hanging="180"/>
        </w:pPr>
        <w:rPr>
          <w:rFonts w:ascii="Symbol" w:hAnsi="Symbol" w:hint="default"/>
        </w:rPr>
      </w:lvl>
    </w:lvlOverride>
    <w:lvlOverride w:ilvl="1">
      <w:startOverride w:val="1"/>
      <w:lvl w:ilvl="1" w:tplc="777421B0">
        <w:start w:val="1"/>
        <w:numFmt w:val="decimal"/>
        <w:lvlText w:val="%2."/>
        <w:lvlJc w:val="right"/>
        <w:pPr>
          <w:ind w:left="1000" w:hanging="180"/>
        </w:pPr>
      </w:lvl>
    </w:lvlOverride>
    <w:lvlOverride w:ilvl="2">
      <w:startOverride w:val="1"/>
      <w:lvl w:ilvl="2" w:tplc="D4A41DB4">
        <w:start w:val="1"/>
        <w:numFmt w:val="decimal"/>
        <w:lvlText w:val="%3."/>
        <w:lvlJc w:val="right"/>
        <w:pPr>
          <w:ind w:left="1500" w:hanging="180"/>
        </w:pPr>
      </w:lvl>
    </w:lvlOverride>
    <w:lvlOverride w:ilvl="3">
      <w:startOverride w:val="1"/>
      <w:lvl w:ilvl="3" w:tplc="D5A4747C">
        <w:start w:val="1"/>
        <w:numFmt w:val="decimal"/>
        <w:lvlText w:val="%4."/>
        <w:lvlJc w:val="right"/>
        <w:pPr>
          <w:ind w:left="2000" w:hanging="180"/>
        </w:pPr>
      </w:lvl>
    </w:lvlOverride>
    <w:lvlOverride w:ilvl="4">
      <w:startOverride w:val="1"/>
      <w:lvl w:ilvl="4" w:tplc="29C275DC">
        <w:start w:val="1"/>
        <w:numFmt w:val="decimal"/>
        <w:lvlText w:val="%5."/>
        <w:lvlJc w:val="right"/>
        <w:pPr>
          <w:ind w:left="2500" w:hanging="180"/>
        </w:pPr>
      </w:lvl>
    </w:lvlOverride>
    <w:lvlOverride w:ilvl="5">
      <w:startOverride w:val="1"/>
      <w:lvl w:ilvl="5" w:tplc="DABE485C">
        <w:start w:val="1"/>
        <w:numFmt w:val="decimal"/>
        <w:lvlText w:val="%6."/>
        <w:lvlJc w:val="right"/>
        <w:pPr>
          <w:ind w:left="3000" w:hanging="180"/>
        </w:pPr>
      </w:lvl>
    </w:lvlOverride>
    <w:lvlOverride w:ilvl="6">
      <w:startOverride w:val="1"/>
      <w:lvl w:ilvl="6" w:tplc="43F6BAB4">
        <w:start w:val="1"/>
        <w:numFmt w:val="decimal"/>
        <w:lvlText w:val="%7."/>
        <w:lvlJc w:val="right"/>
        <w:pPr>
          <w:ind w:left="3500" w:hanging="180"/>
        </w:pPr>
      </w:lvl>
    </w:lvlOverride>
    <w:lvlOverride w:ilvl="7">
      <w:startOverride w:val="1"/>
      <w:lvl w:ilvl="7" w:tplc="42C037B0">
        <w:start w:val="1"/>
        <w:numFmt w:val="decimal"/>
        <w:lvlText w:val="%8."/>
        <w:lvlJc w:val="right"/>
        <w:pPr>
          <w:ind w:left="4000" w:hanging="180"/>
        </w:pPr>
      </w:lvl>
    </w:lvlOverride>
    <w:lvlOverride w:ilvl="8">
      <w:startOverride w:val="1"/>
      <w:lvl w:ilvl="8" w:tplc="CD9682D4">
        <w:start w:val="1"/>
        <w:numFmt w:val="decimal"/>
        <w:lvlText w:val="%9."/>
        <w:lvlJc w:val="right"/>
        <w:pPr>
          <w:ind w:left="4500" w:hanging="180"/>
        </w:pPr>
      </w:lvl>
    </w:lvlOverride>
  </w:num>
  <w:num w:numId="30" w16cid:durableId="815803480">
    <w:abstractNumId w:val="76"/>
    <w:lvlOverride w:ilvl="0">
      <w:startOverride w:val="1"/>
      <w:lvl w:ilvl="0" w:tplc="3F6A3358">
        <w:start w:val="1"/>
        <w:numFmt w:val="bullet"/>
        <w:lvlText w:val=""/>
        <w:lvlJc w:val="right"/>
        <w:pPr>
          <w:ind w:left="500" w:hanging="180"/>
        </w:pPr>
        <w:rPr>
          <w:rFonts w:ascii="Symbol" w:hAnsi="Symbol" w:hint="default"/>
        </w:rPr>
      </w:lvl>
    </w:lvlOverride>
    <w:lvlOverride w:ilvl="1">
      <w:startOverride w:val="1"/>
      <w:lvl w:ilvl="1" w:tplc="35F4525C">
        <w:start w:val="1"/>
        <w:numFmt w:val="decimal"/>
        <w:lvlText w:val="%2."/>
        <w:lvlJc w:val="right"/>
        <w:pPr>
          <w:ind w:left="1000" w:hanging="180"/>
        </w:pPr>
      </w:lvl>
    </w:lvlOverride>
    <w:lvlOverride w:ilvl="2">
      <w:startOverride w:val="1"/>
      <w:lvl w:ilvl="2" w:tplc="16287842">
        <w:start w:val="1"/>
        <w:numFmt w:val="decimal"/>
        <w:lvlText w:val="%3."/>
        <w:lvlJc w:val="right"/>
        <w:pPr>
          <w:ind w:left="1500" w:hanging="180"/>
        </w:pPr>
      </w:lvl>
    </w:lvlOverride>
    <w:lvlOverride w:ilvl="3">
      <w:startOverride w:val="1"/>
      <w:lvl w:ilvl="3" w:tplc="1C36BF26">
        <w:start w:val="1"/>
        <w:numFmt w:val="decimal"/>
        <w:lvlText w:val="%4."/>
        <w:lvlJc w:val="right"/>
        <w:pPr>
          <w:ind w:left="2000" w:hanging="180"/>
        </w:pPr>
      </w:lvl>
    </w:lvlOverride>
    <w:lvlOverride w:ilvl="4">
      <w:startOverride w:val="1"/>
      <w:lvl w:ilvl="4" w:tplc="86B66B34">
        <w:start w:val="1"/>
        <w:numFmt w:val="decimal"/>
        <w:lvlText w:val="%5."/>
        <w:lvlJc w:val="right"/>
        <w:pPr>
          <w:ind w:left="2500" w:hanging="180"/>
        </w:pPr>
      </w:lvl>
    </w:lvlOverride>
    <w:lvlOverride w:ilvl="5">
      <w:startOverride w:val="1"/>
      <w:lvl w:ilvl="5" w:tplc="1BF863B6">
        <w:start w:val="1"/>
        <w:numFmt w:val="decimal"/>
        <w:lvlText w:val="%6."/>
        <w:lvlJc w:val="right"/>
        <w:pPr>
          <w:ind w:left="3000" w:hanging="180"/>
        </w:pPr>
      </w:lvl>
    </w:lvlOverride>
    <w:lvlOverride w:ilvl="6">
      <w:startOverride w:val="1"/>
      <w:lvl w:ilvl="6" w:tplc="B3B0EB70">
        <w:start w:val="1"/>
        <w:numFmt w:val="decimal"/>
        <w:lvlText w:val="%7."/>
        <w:lvlJc w:val="right"/>
        <w:pPr>
          <w:ind w:left="3500" w:hanging="180"/>
        </w:pPr>
      </w:lvl>
    </w:lvlOverride>
    <w:lvlOverride w:ilvl="7">
      <w:startOverride w:val="1"/>
      <w:lvl w:ilvl="7" w:tplc="D5861000">
        <w:start w:val="1"/>
        <w:numFmt w:val="decimal"/>
        <w:lvlText w:val="%8."/>
        <w:lvlJc w:val="right"/>
        <w:pPr>
          <w:ind w:left="4000" w:hanging="180"/>
        </w:pPr>
      </w:lvl>
    </w:lvlOverride>
    <w:lvlOverride w:ilvl="8">
      <w:startOverride w:val="1"/>
      <w:lvl w:ilvl="8" w:tplc="100291EA">
        <w:start w:val="1"/>
        <w:numFmt w:val="decimal"/>
        <w:lvlText w:val="%9."/>
        <w:lvlJc w:val="right"/>
        <w:pPr>
          <w:ind w:left="4500" w:hanging="180"/>
        </w:pPr>
      </w:lvl>
    </w:lvlOverride>
  </w:num>
  <w:num w:numId="31" w16cid:durableId="1291204480">
    <w:abstractNumId w:val="38"/>
    <w:lvlOverride w:ilvl="0">
      <w:startOverride w:val="1"/>
      <w:lvl w:ilvl="0" w:tplc="841A631A">
        <w:start w:val="1"/>
        <w:numFmt w:val="bullet"/>
        <w:lvlText w:val=""/>
        <w:lvlJc w:val="right"/>
        <w:pPr>
          <w:ind w:left="500" w:hanging="180"/>
        </w:pPr>
        <w:rPr>
          <w:rFonts w:ascii="Symbol" w:hAnsi="Symbol" w:hint="default"/>
        </w:rPr>
      </w:lvl>
    </w:lvlOverride>
    <w:lvlOverride w:ilvl="1">
      <w:startOverride w:val="1"/>
      <w:lvl w:ilvl="1" w:tplc="4E465632">
        <w:start w:val="1"/>
        <w:numFmt w:val="decimal"/>
        <w:lvlText w:val="%2."/>
        <w:lvlJc w:val="right"/>
        <w:pPr>
          <w:ind w:left="1000" w:hanging="180"/>
        </w:pPr>
      </w:lvl>
    </w:lvlOverride>
    <w:lvlOverride w:ilvl="2">
      <w:startOverride w:val="1"/>
      <w:lvl w:ilvl="2" w:tplc="1ADA7A40">
        <w:start w:val="1"/>
        <w:numFmt w:val="decimal"/>
        <w:lvlText w:val="%3."/>
        <w:lvlJc w:val="right"/>
        <w:pPr>
          <w:ind w:left="1500" w:hanging="180"/>
        </w:pPr>
      </w:lvl>
    </w:lvlOverride>
    <w:lvlOverride w:ilvl="3">
      <w:startOverride w:val="1"/>
      <w:lvl w:ilvl="3" w:tplc="5DF04DEA">
        <w:start w:val="1"/>
        <w:numFmt w:val="decimal"/>
        <w:lvlText w:val="%4."/>
        <w:lvlJc w:val="right"/>
        <w:pPr>
          <w:ind w:left="2000" w:hanging="180"/>
        </w:pPr>
      </w:lvl>
    </w:lvlOverride>
    <w:lvlOverride w:ilvl="4">
      <w:startOverride w:val="1"/>
      <w:lvl w:ilvl="4" w:tplc="920C8000">
        <w:start w:val="1"/>
        <w:numFmt w:val="decimal"/>
        <w:lvlText w:val="%5."/>
        <w:lvlJc w:val="right"/>
        <w:pPr>
          <w:ind w:left="2500" w:hanging="180"/>
        </w:pPr>
      </w:lvl>
    </w:lvlOverride>
    <w:lvlOverride w:ilvl="5">
      <w:startOverride w:val="1"/>
      <w:lvl w:ilvl="5" w:tplc="FB20A8CE">
        <w:start w:val="1"/>
        <w:numFmt w:val="decimal"/>
        <w:lvlText w:val="%6."/>
        <w:lvlJc w:val="right"/>
        <w:pPr>
          <w:ind w:left="3000" w:hanging="180"/>
        </w:pPr>
      </w:lvl>
    </w:lvlOverride>
    <w:lvlOverride w:ilvl="6">
      <w:startOverride w:val="1"/>
      <w:lvl w:ilvl="6" w:tplc="990E45D8">
        <w:start w:val="1"/>
        <w:numFmt w:val="decimal"/>
        <w:lvlText w:val="%7."/>
        <w:lvlJc w:val="right"/>
        <w:pPr>
          <w:ind w:left="3500" w:hanging="180"/>
        </w:pPr>
      </w:lvl>
    </w:lvlOverride>
    <w:lvlOverride w:ilvl="7">
      <w:startOverride w:val="1"/>
      <w:lvl w:ilvl="7" w:tplc="F476D758">
        <w:start w:val="1"/>
        <w:numFmt w:val="decimal"/>
        <w:lvlText w:val="%8."/>
        <w:lvlJc w:val="right"/>
        <w:pPr>
          <w:ind w:left="4000" w:hanging="180"/>
        </w:pPr>
      </w:lvl>
    </w:lvlOverride>
    <w:lvlOverride w:ilvl="8">
      <w:startOverride w:val="1"/>
      <w:lvl w:ilvl="8" w:tplc="CDB4219E">
        <w:start w:val="1"/>
        <w:numFmt w:val="decimal"/>
        <w:lvlText w:val="%9."/>
        <w:lvlJc w:val="right"/>
        <w:pPr>
          <w:ind w:left="4500" w:hanging="180"/>
        </w:pPr>
      </w:lvl>
    </w:lvlOverride>
  </w:num>
  <w:num w:numId="32" w16cid:durableId="313418017">
    <w:abstractNumId w:val="47"/>
    <w:lvlOverride w:ilvl="0">
      <w:startOverride w:val="1"/>
      <w:lvl w:ilvl="0" w:tplc="E00CD512">
        <w:start w:val="1"/>
        <w:numFmt w:val="bullet"/>
        <w:lvlText w:val=""/>
        <w:lvlJc w:val="right"/>
        <w:pPr>
          <w:ind w:left="500" w:hanging="180"/>
        </w:pPr>
        <w:rPr>
          <w:rFonts w:ascii="Symbol" w:hAnsi="Symbol" w:hint="default"/>
        </w:rPr>
      </w:lvl>
    </w:lvlOverride>
    <w:lvlOverride w:ilvl="1">
      <w:startOverride w:val="1"/>
      <w:lvl w:ilvl="1" w:tplc="95AA0E5C">
        <w:start w:val="1"/>
        <w:numFmt w:val="decimal"/>
        <w:lvlText w:val="%2."/>
        <w:lvlJc w:val="right"/>
        <w:pPr>
          <w:ind w:left="1000" w:hanging="180"/>
        </w:pPr>
      </w:lvl>
    </w:lvlOverride>
    <w:lvlOverride w:ilvl="2">
      <w:startOverride w:val="1"/>
      <w:lvl w:ilvl="2" w:tplc="2DFEBE3A">
        <w:start w:val="1"/>
        <w:numFmt w:val="decimal"/>
        <w:lvlText w:val="%3."/>
        <w:lvlJc w:val="right"/>
        <w:pPr>
          <w:ind w:left="1500" w:hanging="180"/>
        </w:pPr>
      </w:lvl>
    </w:lvlOverride>
    <w:lvlOverride w:ilvl="3">
      <w:startOverride w:val="1"/>
      <w:lvl w:ilvl="3" w:tplc="6806326E">
        <w:start w:val="1"/>
        <w:numFmt w:val="decimal"/>
        <w:lvlText w:val="%4."/>
        <w:lvlJc w:val="right"/>
        <w:pPr>
          <w:ind w:left="2000" w:hanging="180"/>
        </w:pPr>
      </w:lvl>
    </w:lvlOverride>
    <w:lvlOverride w:ilvl="4">
      <w:startOverride w:val="1"/>
      <w:lvl w:ilvl="4" w:tplc="1B9EF99C">
        <w:start w:val="1"/>
        <w:numFmt w:val="decimal"/>
        <w:lvlText w:val="%5."/>
        <w:lvlJc w:val="right"/>
        <w:pPr>
          <w:ind w:left="2500" w:hanging="180"/>
        </w:pPr>
      </w:lvl>
    </w:lvlOverride>
    <w:lvlOverride w:ilvl="5">
      <w:startOverride w:val="1"/>
      <w:lvl w:ilvl="5" w:tplc="5BA8933A">
        <w:start w:val="1"/>
        <w:numFmt w:val="decimal"/>
        <w:lvlText w:val="%6."/>
        <w:lvlJc w:val="right"/>
        <w:pPr>
          <w:ind w:left="3000" w:hanging="180"/>
        </w:pPr>
      </w:lvl>
    </w:lvlOverride>
    <w:lvlOverride w:ilvl="6">
      <w:startOverride w:val="1"/>
      <w:lvl w:ilvl="6" w:tplc="B32AEA26">
        <w:start w:val="1"/>
        <w:numFmt w:val="decimal"/>
        <w:lvlText w:val="%7."/>
        <w:lvlJc w:val="right"/>
        <w:pPr>
          <w:ind w:left="3500" w:hanging="180"/>
        </w:pPr>
      </w:lvl>
    </w:lvlOverride>
    <w:lvlOverride w:ilvl="7">
      <w:startOverride w:val="1"/>
      <w:lvl w:ilvl="7" w:tplc="5134BB24">
        <w:start w:val="1"/>
        <w:numFmt w:val="decimal"/>
        <w:lvlText w:val="%8."/>
        <w:lvlJc w:val="right"/>
        <w:pPr>
          <w:ind w:left="4000" w:hanging="180"/>
        </w:pPr>
      </w:lvl>
    </w:lvlOverride>
    <w:lvlOverride w:ilvl="8">
      <w:startOverride w:val="1"/>
      <w:lvl w:ilvl="8" w:tplc="F50690C6">
        <w:start w:val="1"/>
        <w:numFmt w:val="decimal"/>
        <w:lvlText w:val="%9."/>
        <w:lvlJc w:val="right"/>
        <w:pPr>
          <w:ind w:left="4500" w:hanging="180"/>
        </w:pPr>
      </w:lvl>
    </w:lvlOverride>
  </w:num>
  <w:num w:numId="33" w16cid:durableId="324942439">
    <w:abstractNumId w:val="72"/>
    <w:lvlOverride w:ilvl="0">
      <w:startOverride w:val="1"/>
      <w:lvl w:ilvl="0" w:tplc="C4CAFBA6">
        <w:start w:val="1"/>
        <w:numFmt w:val="bullet"/>
        <w:lvlText w:val=""/>
        <w:lvlJc w:val="right"/>
        <w:pPr>
          <w:ind w:left="500" w:hanging="180"/>
        </w:pPr>
        <w:rPr>
          <w:rFonts w:ascii="Symbol" w:hAnsi="Symbol" w:hint="default"/>
        </w:rPr>
      </w:lvl>
    </w:lvlOverride>
    <w:lvlOverride w:ilvl="1">
      <w:startOverride w:val="1"/>
      <w:lvl w:ilvl="1" w:tplc="DC763968">
        <w:start w:val="1"/>
        <w:numFmt w:val="decimal"/>
        <w:lvlText w:val="%2."/>
        <w:lvlJc w:val="right"/>
        <w:pPr>
          <w:ind w:left="1000" w:hanging="180"/>
        </w:pPr>
      </w:lvl>
    </w:lvlOverride>
    <w:lvlOverride w:ilvl="2">
      <w:startOverride w:val="1"/>
      <w:lvl w:ilvl="2" w:tplc="D8AA771C">
        <w:start w:val="1"/>
        <w:numFmt w:val="decimal"/>
        <w:lvlText w:val="%3."/>
        <w:lvlJc w:val="right"/>
        <w:pPr>
          <w:ind w:left="1500" w:hanging="180"/>
        </w:pPr>
      </w:lvl>
    </w:lvlOverride>
    <w:lvlOverride w:ilvl="3">
      <w:startOverride w:val="1"/>
      <w:lvl w:ilvl="3" w:tplc="CD3403FA">
        <w:start w:val="1"/>
        <w:numFmt w:val="decimal"/>
        <w:lvlText w:val="%4."/>
        <w:lvlJc w:val="right"/>
        <w:pPr>
          <w:ind w:left="2000" w:hanging="180"/>
        </w:pPr>
      </w:lvl>
    </w:lvlOverride>
    <w:lvlOverride w:ilvl="4">
      <w:startOverride w:val="1"/>
      <w:lvl w:ilvl="4" w:tplc="F154B4AE">
        <w:start w:val="1"/>
        <w:numFmt w:val="decimal"/>
        <w:lvlText w:val="%5."/>
        <w:lvlJc w:val="right"/>
        <w:pPr>
          <w:ind w:left="2500" w:hanging="180"/>
        </w:pPr>
      </w:lvl>
    </w:lvlOverride>
    <w:lvlOverride w:ilvl="5">
      <w:startOverride w:val="1"/>
      <w:lvl w:ilvl="5" w:tplc="13502076">
        <w:start w:val="1"/>
        <w:numFmt w:val="decimal"/>
        <w:lvlText w:val="%6."/>
        <w:lvlJc w:val="right"/>
        <w:pPr>
          <w:ind w:left="3000" w:hanging="180"/>
        </w:pPr>
      </w:lvl>
    </w:lvlOverride>
    <w:lvlOverride w:ilvl="6">
      <w:startOverride w:val="1"/>
      <w:lvl w:ilvl="6" w:tplc="A1D60CAA">
        <w:start w:val="1"/>
        <w:numFmt w:val="decimal"/>
        <w:lvlText w:val="%7."/>
        <w:lvlJc w:val="right"/>
        <w:pPr>
          <w:ind w:left="3500" w:hanging="180"/>
        </w:pPr>
      </w:lvl>
    </w:lvlOverride>
    <w:lvlOverride w:ilvl="7">
      <w:startOverride w:val="1"/>
      <w:lvl w:ilvl="7" w:tplc="4122489E">
        <w:start w:val="1"/>
        <w:numFmt w:val="decimal"/>
        <w:lvlText w:val="%8."/>
        <w:lvlJc w:val="right"/>
        <w:pPr>
          <w:ind w:left="4000" w:hanging="180"/>
        </w:pPr>
      </w:lvl>
    </w:lvlOverride>
    <w:lvlOverride w:ilvl="8">
      <w:startOverride w:val="1"/>
      <w:lvl w:ilvl="8" w:tplc="54C220A2">
        <w:start w:val="1"/>
        <w:numFmt w:val="decimal"/>
        <w:lvlText w:val="%9."/>
        <w:lvlJc w:val="right"/>
        <w:pPr>
          <w:ind w:left="4500" w:hanging="180"/>
        </w:pPr>
      </w:lvl>
    </w:lvlOverride>
  </w:num>
  <w:num w:numId="34" w16cid:durableId="1519199556">
    <w:abstractNumId w:val="66"/>
    <w:lvlOverride w:ilvl="0">
      <w:startOverride w:val="1"/>
      <w:lvl w:ilvl="0" w:tplc="A1E8B594">
        <w:start w:val="1"/>
        <w:numFmt w:val="bullet"/>
        <w:lvlText w:val=""/>
        <w:lvlJc w:val="right"/>
        <w:pPr>
          <w:ind w:left="500" w:hanging="180"/>
        </w:pPr>
        <w:rPr>
          <w:rFonts w:ascii="Symbol" w:hAnsi="Symbol" w:hint="default"/>
        </w:rPr>
      </w:lvl>
    </w:lvlOverride>
    <w:lvlOverride w:ilvl="1">
      <w:startOverride w:val="1"/>
      <w:lvl w:ilvl="1" w:tplc="68FACF96">
        <w:start w:val="1"/>
        <w:numFmt w:val="decimal"/>
        <w:lvlText w:val="%2."/>
        <w:lvlJc w:val="right"/>
        <w:pPr>
          <w:ind w:left="1000" w:hanging="180"/>
        </w:pPr>
      </w:lvl>
    </w:lvlOverride>
    <w:lvlOverride w:ilvl="2">
      <w:startOverride w:val="1"/>
      <w:lvl w:ilvl="2" w:tplc="67A0E568">
        <w:start w:val="1"/>
        <w:numFmt w:val="decimal"/>
        <w:lvlText w:val="%3."/>
        <w:lvlJc w:val="right"/>
        <w:pPr>
          <w:ind w:left="1500" w:hanging="180"/>
        </w:pPr>
      </w:lvl>
    </w:lvlOverride>
    <w:lvlOverride w:ilvl="3">
      <w:startOverride w:val="1"/>
      <w:lvl w:ilvl="3" w:tplc="8300F502">
        <w:start w:val="1"/>
        <w:numFmt w:val="decimal"/>
        <w:lvlText w:val="%4."/>
        <w:lvlJc w:val="right"/>
        <w:pPr>
          <w:ind w:left="2000" w:hanging="180"/>
        </w:pPr>
      </w:lvl>
    </w:lvlOverride>
    <w:lvlOverride w:ilvl="4">
      <w:startOverride w:val="1"/>
      <w:lvl w:ilvl="4" w:tplc="F168E02E">
        <w:start w:val="1"/>
        <w:numFmt w:val="decimal"/>
        <w:lvlText w:val="%5."/>
        <w:lvlJc w:val="right"/>
        <w:pPr>
          <w:ind w:left="2500" w:hanging="180"/>
        </w:pPr>
      </w:lvl>
    </w:lvlOverride>
    <w:lvlOverride w:ilvl="5">
      <w:startOverride w:val="1"/>
      <w:lvl w:ilvl="5" w:tplc="E5069528">
        <w:start w:val="1"/>
        <w:numFmt w:val="decimal"/>
        <w:lvlText w:val="%6."/>
        <w:lvlJc w:val="right"/>
        <w:pPr>
          <w:ind w:left="3000" w:hanging="180"/>
        </w:pPr>
      </w:lvl>
    </w:lvlOverride>
    <w:lvlOverride w:ilvl="6">
      <w:startOverride w:val="1"/>
      <w:lvl w:ilvl="6" w:tplc="A93E381E">
        <w:start w:val="1"/>
        <w:numFmt w:val="decimal"/>
        <w:lvlText w:val="%7."/>
        <w:lvlJc w:val="right"/>
        <w:pPr>
          <w:ind w:left="3500" w:hanging="180"/>
        </w:pPr>
      </w:lvl>
    </w:lvlOverride>
    <w:lvlOverride w:ilvl="7">
      <w:startOverride w:val="1"/>
      <w:lvl w:ilvl="7" w:tplc="65A0047C">
        <w:start w:val="1"/>
        <w:numFmt w:val="decimal"/>
        <w:lvlText w:val="%8."/>
        <w:lvlJc w:val="right"/>
        <w:pPr>
          <w:ind w:left="4000" w:hanging="180"/>
        </w:pPr>
      </w:lvl>
    </w:lvlOverride>
    <w:lvlOverride w:ilvl="8">
      <w:startOverride w:val="1"/>
      <w:lvl w:ilvl="8" w:tplc="8290554E">
        <w:start w:val="1"/>
        <w:numFmt w:val="decimal"/>
        <w:lvlText w:val="%9."/>
        <w:lvlJc w:val="right"/>
        <w:pPr>
          <w:ind w:left="4500" w:hanging="180"/>
        </w:pPr>
      </w:lvl>
    </w:lvlOverride>
  </w:num>
  <w:num w:numId="35" w16cid:durableId="174076756">
    <w:abstractNumId w:val="40"/>
    <w:lvlOverride w:ilvl="0">
      <w:startOverride w:val="1"/>
      <w:lvl w:ilvl="0" w:tplc="457AE830">
        <w:start w:val="1"/>
        <w:numFmt w:val="bullet"/>
        <w:lvlText w:val=""/>
        <w:lvlJc w:val="right"/>
        <w:pPr>
          <w:ind w:left="500" w:hanging="180"/>
        </w:pPr>
        <w:rPr>
          <w:rFonts w:ascii="Symbol" w:hAnsi="Symbol" w:hint="default"/>
        </w:rPr>
      </w:lvl>
    </w:lvlOverride>
    <w:lvlOverride w:ilvl="1">
      <w:startOverride w:val="1"/>
      <w:lvl w:ilvl="1" w:tplc="F5AC72AE">
        <w:start w:val="1"/>
        <w:numFmt w:val="decimal"/>
        <w:lvlText w:val="%2."/>
        <w:lvlJc w:val="right"/>
        <w:pPr>
          <w:ind w:left="1000" w:hanging="180"/>
        </w:pPr>
      </w:lvl>
    </w:lvlOverride>
    <w:lvlOverride w:ilvl="2">
      <w:startOverride w:val="1"/>
      <w:lvl w:ilvl="2" w:tplc="E0DCF72C">
        <w:start w:val="1"/>
        <w:numFmt w:val="decimal"/>
        <w:lvlText w:val="%3."/>
        <w:lvlJc w:val="right"/>
        <w:pPr>
          <w:ind w:left="1500" w:hanging="180"/>
        </w:pPr>
      </w:lvl>
    </w:lvlOverride>
    <w:lvlOverride w:ilvl="3">
      <w:startOverride w:val="1"/>
      <w:lvl w:ilvl="3" w:tplc="E4BCA9E8">
        <w:start w:val="1"/>
        <w:numFmt w:val="decimal"/>
        <w:lvlText w:val="%4."/>
        <w:lvlJc w:val="right"/>
        <w:pPr>
          <w:ind w:left="2000" w:hanging="180"/>
        </w:pPr>
      </w:lvl>
    </w:lvlOverride>
    <w:lvlOverride w:ilvl="4">
      <w:startOverride w:val="1"/>
      <w:lvl w:ilvl="4" w:tplc="C7FED7E2">
        <w:start w:val="1"/>
        <w:numFmt w:val="decimal"/>
        <w:lvlText w:val="%5."/>
        <w:lvlJc w:val="right"/>
        <w:pPr>
          <w:ind w:left="2500" w:hanging="180"/>
        </w:pPr>
      </w:lvl>
    </w:lvlOverride>
    <w:lvlOverride w:ilvl="5">
      <w:startOverride w:val="1"/>
      <w:lvl w:ilvl="5" w:tplc="780A7372">
        <w:start w:val="1"/>
        <w:numFmt w:val="decimal"/>
        <w:lvlText w:val="%6."/>
        <w:lvlJc w:val="right"/>
        <w:pPr>
          <w:ind w:left="3000" w:hanging="180"/>
        </w:pPr>
      </w:lvl>
    </w:lvlOverride>
    <w:lvlOverride w:ilvl="6">
      <w:startOverride w:val="1"/>
      <w:lvl w:ilvl="6" w:tplc="63DEA3DE">
        <w:start w:val="1"/>
        <w:numFmt w:val="decimal"/>
        <w:lvlText w:val="%7."/>
        <w:lvlJc w:val="right"/>
        <w:pPr>
          <w:ind w:left="3500" w:hanging="180"/>
        </w:pPr>
      </w:lvl>
    </w:lvlOverride>
    <w:lvlOverride w:ilvl="7">
      <w:startOverride w:val="1"/>
      <w:lvl w:ilvl="7" w:tplc="2A487378">
        <w:start w:val="1"/>
        <w:numFmt w:val="decimal"/>
        <w:lvlText w:val="%8."/>
        <w:lvlJc w:val="right"/>
        <w:pPr>
          <w:ind w:left="4000" w:hanging="180"/>
        </w:pPr>
      </w:lvl>
    </w:lvlOverride>
    <w:lvlOverride w:ilvl="8">
      <w:startOverride w:val="1"/>
      <w:lvl w:ilvl="8" w:tplc="1D244A6C">
        <w:start w:val="1"/>
        <w:numFmt w:val="decimal"/>
        <w:lvlText w:val="%9."/>
        <w:lvlJc w:val="right"/>
        <w:pPr>
          <w:ind w:left="4500" w:hanging="180"/>
        </w:pPr>
      </w:lvl>
    </w:lvlOverride>
  </w:num>
  <w:num w:numId="36" w16cid:durableId="519438671">
    <w:abstractNumId w:val="40"/>
    <w:lvlOverride w:ilvl="0">
      <w:startOverride w:val="1"/>
      <w:lvl w:ilvl="0" w:tplc="457AE830">
        <w:start w:val="1"/>
        <w:numFmt w:val="bullet"/>
        <w:lvlText w:val=""/>
        <w:lvlJc w:val="right"/>
        <w:pPr>
          <w:ind w:left="500" w:hanging="180"/>
        </w:pPr>
        <w:rPr>
          <w:rFonts w:ascii="Symbol" w:hAnsi="Symbol" w:hint="default"/>
        </w:rPr>
      </w:lvl>
    </w:lvlOverride>
    <w:lvlOverride w:ilvl="1">
      <w:startOverride w:val="1"/>
      <w:lvl w:ilvl="1" w:tplc="F5AC72AE">
        <w:start w:val="1"/>
        <w:numFmt w:val="decimal"/>
        <w:lvlText w:val="%2."/>
        <w:lvlJc w:val="right"/>
        <w:pPr>
          <w:ind w:left="1000" w:hanging="180"/>
        </w:pPr>
      </w:lvl>
    </w:lvlOverride>
    <w:lvlOverride w:ilvl="2">
      <w:startOverride w:val="1"/>
      <w:lvl w:ilvl="2" w:tplc="E0DCF72C">
        <w:start w:val="1"/>
        <w:numFmt w:val="decimal"/>
        <w:lvlText w:val="%3."/>
        <w:lvlJc w:val="right"/>
        <w:pPr>
          <w:ind w:left="1500" w:hanging="180"/>
        </w:pPr>
      </w:lvl>
    </w:lvlOverride>
    <w:lvlOverride w:ilvl="3">
      <w:startOverride w:val="1"/>
      <w:lvl w:ilvl="3" w:tplc="E4BCA9E8">
        <w:start w:val="1"/>
        <w:numFmt w:val="decimal"/>
        <w:lvlText w:val="%4."/>
        <w:lvlJc w:val="right"/>
        <w:pPr>
          <w:ind w:left="2000" w:hanging="180"/>
        </w:pPr>
      </w:lvl>
    </w:lvlOverride>
    <w:lvlOverride w:ilvl="4">
      <w:startOverride w:val="1"/>
      <w:lvl w:ilvl="4" w:tplc="C7FED7E2">
        <w:start w:val="1"/>
        <w:numFmt w:val="decimal"/>
        <w:lvlText w:val="%5."/>
        <w:lvlJc w:val="right"/>
        <w:pPr>
          <w:ind w:left="2500" w:hanging="180"/>
        </w:pPr>
      </w:lvl>
    </w:lvlOverride>
    <w:lvlOverride w:ilvl="5">
      <w:startOverride w:val="1"/>
      <w:lvl w:ilvl="5" w:tplc="780A7372">
        <w:start w:val="1"/>
        <w:numFmt w:val="decimal"/>
        <w:lvlText w:val="%6."/>
        <w:lvlJc w:val="right"/>
        <w:pPr>
          <w:ind w:left="3000" w:hanging="180"/>
        </w:pPr>
      </w:lvl>
    </w:lvlOverride>
    <w:lvlOverride w:ilvl="6">
      <w:startOverride w:val="1"/>
      <w:lvl w:ilvl="6" w:tplc="63DEA3DE">
        <w:start w:val="1"/>
        <w:numFmt w:val="decimal"/>
        <w:lvlText w:val="%7."/>
        <w:lvlJc w:val="right"/>
        <w:pPr>
          <w:ind w:left="3500" w:hanging="180"/>
        </w:pPr>
      </w:lvl>
    </w:lvlOverride>
    <w:lvlOverride w:ilvl="7">
      <w:startOverride w:val="1"/>
      <w:lvl w:ilvl="7" w:tplc="2A487378">
        <w:start w:val="1"/>
        <w:numFmt w:val="decimal"/>
        <w:lvlText w:val="%8."/>
        <w:lvlJc w:val="right"/>
        <w:pPr>
          <w:ind w:left="4000" w:hanging="180"/>
        </w:pPr>
      </w:lvl>
    </w:lvlOverride>
    <w:lvlOverride w:ilvl="8">
      <w:startOverride w:val="1"/>
      <w:lvl w:ilvl="8" w:tplc="1D244A6C">
        <w:start w:val="1"/>
        <w:numFmt w:val="decimal"/>
        <w:lvlText w:val="%9."/>
        <w:lvlJc w:val="right"/>
        <w:pPr>
          <w:ind w:left="4500" w:hanging="180"/>
        </w:pPr>
      </w:lvl>
    </w:lvlOverride>
  </w:num>
  <w:num w:numId="37" w16cid:durableId="1067192037">
    <w:abstractNumId w:val="4"/>
    <w:lvlOverride w:ilvl="0">
      <w:startOverride w:val="1"/>
      <w:lvl w:ilvl="0" w:tplc="7BB44F70">
        <w:start w:val="1"/>
        <w:numFmt w:val="bullet"/>
        <w:lvlText w:val=""/>
        <w:lvlJc w:val="right"/>
        <w:pPr>
          <w:ind w:left="500" w:hanging="180"/>
        </w:pPr>
        <w:rPr>
          <w:rFonts w:ascii="Symbol" w:hAnsi="Symbol" w:hint="default"/>
        </w:rPr>
      </w:lvl>
    </w:lvlOverride>
    <w:lvlOverride w:ilvl="1">
      <w:startOverride w:val="1"/>
      <w:lvl w:ilvl="1" w:tplc="FBEA0E16">
        <w:start w:val="1"/>
        <w:numFmt w:val="decimal"/>
        <w:lvlText w:val="%2."/>
        <w:lvlJc w:val="right"/>
        <w:pPr>
          <w:ind w:left="1000" w:hanging="180"/>
        </w:pPr>
      </w:lvl>
    </w:lvlOverride>
    <w:lvlOverride w:ilvl="2">
      <w:startOverride w:val="1"/>
      <w:lvl w:ilvl="2" w:tplc="B1102390">
        <w:start w:val="1"/>
        <w:numFmt w:val="decimal"/>
        <w:lvlText w:val="%3."/>
        <w:lvlJc w:val="right"/>
        <w:pPr>
          <w:ind w:left="1500" w:hanging="180"/>
        </w:pPr>
      </w:lvl>
    </w:lvlOverride>
    <w:lvlOverride w:ilvl="3">
      <w:startOverride w:val="1"/>
      <w:lvl w:ilvl="3" w:tplc="CF14D720">
        <w:start w:val="1"/>
        <w:numFmt w:val="decimal"/>
        <w:lvlText w:val="%4."/>
        <w:lvlJc w:val="right"/>
        <w:pPr>
          <w:ind w:left="2000" w:hanging="180"/>
        </w:pPr>
      </w:lvl>
    </w:lvlOverride>
    <w:lvlOverride w:ilvl="4">
      <w:startOverride w:val="1"/>
      <w:lvl w:ilvl="4" w:tplc="A31C1496">
        <w:start w:val="1"/>
        <w:numFmt w:val="decimal"/>
        <w:lvlText w:val="%5."/>
        <w:lvlJc w:val="right"/>
        <w:pPr>
          <w:ind w:left="2500" w:hanging="180"/>
        </w:pPr>
      </w:lvl>
    </w:lvlOverride>
    <w:lvlOverride w:ilvl="5">
      <w:startOverride w:val="1"/>
      <w:lvl w:ilvl="5" w:tplc="24D20DBE">
        <w:start w:val="1"/>
        <w:numFmt w:val="decimal"/>
        <w:lvlText w:val="%6."/>
        <w:lvlJc w:val="right"/>
        <w:pPr>
          <w:ind w:left="3000" w:hanging="180"/>
        </w:pPr>
      </w:lvl>
    </w:lvlOverride>
    <w:lvlOverride w:ilvl="6">
      <w:startOverride w:val="1"/>
      <w:lvl w:ilvl="6" w:tplc="B2D07B80">
        <w:start w:val="1"/>
        <w:numFmt w:val="decimal"/>
        <w:lvlText w:val="%7."/>
        <w:lvlJc w:val="right"/>
        <w:pPr>
          <w:ind w:left="3500" w:hanging="180"/>
        </w:pPr>
      </w:lvl>
    </w:lvlOverride>
    <w:lvlOverride w:ilvl="7">
      <w:startOverride w:val="1"/>
      <w:lvl w:ilvl="7" w:tplc="5D003F72">
        <w:start w:val="1"/>
        <w:numFmt w:val="decimal"/>
        <w:lvlText w:val="%8."/>
        <w:lvlJc w:val="right"/>
        <w:pPr>
          <w:ind w:left="4000" w:hanging="180"/>
        </w:pPr>
      </w:lvl>
    </w:lvlOverride>
    <w:lvlOverride w:ilvl="8">
      <w:startOverride w:val="1"/>
      <w:lvl w:ilvl="8" w:tplc="59D0E408">
        <w:start w:val="1"/>
        <w:numFmt w:val="decimal"/>
        <w:lvlText w:val="%9."/>
        <w:lvlJc w:val="right"/>
        <w:pPr>
          <w:ind w:left="4500" w:hanging="180"/>
        </w:pPr>
      </w:lvl>
    </w:lvlOverride>
  </w:num>
  <w:num w:numId="38" w16cid:durableId="359596563">
    <w:abstractNumId w:val="33"/>
    <w:lvlOverride w:ilvl="0">
      <w:startOverride w:val="1"/>
      <w:lvl w:ilvl="0" w:tplc="91CCCDA6">
        <w:start w:val="1"/>
        <w:numFmt w:val="bullet"/>
        <w:lvlText w:val=""/>
        <w:lvlJc w:val="right"/>
        <w:pPr>
          <w:ind w:left="500" w:hanging="180"/>
        </w:pPr>
        <w:rPr>
          <w:rFonts w:ascii="Symbol" w:hAnsi="Symbol" w:hint="default"/>
        </w:rPr>
      </w:lvl>
    </w:lvlOverride>
    <w:lvlOverride w:ilvl="1">
      <w:startOverride w:val="1"/>
      <w:lvl w:ilvl="1" w:tplc="F3A83756">
        <w:start w:val="1"/>
        <w:numFmt w:val="decimal"/>
        <w:lvlText w:val="%2."/>
        <w:lvlJc w:val="right"/>
        <w:pPr>
          <w:ind w:left="1000" w:hanging="180"/>
        </w:pPr>
      </w:lvl>
    </w:lvlOverride>
    <w:lvlOverride w:ilvl="2">
      <w:startOverride w:val="1"/>
      <w:lvl w:ilvl="2" w:tplc="54BE81C2">
        <w:start w:val="1"/>
        <w:numFmt w:val="decimal"/>
        <w:lvlText w:val="%3."/>
        <w:lvlJc w:val="right"/>
        <w:pPr>
          <w:ind w:left="1500" w:hanging="180"/>
        </w:pPr>
      </w:lvl>
    </w:lvlOverride>
    <w:lvlOverride w:ilvl="3">
      <w:startOverride w:val="1"/>
      <w:lvl w:ilvl="3" w:tplc="95EC2D1A">
        <w:start w:val="1"/>
        <w:numFmt w:val="decimal"/>
        <w:lvlText w:val="%4."/>
        <w:lvlJc w:val="right"/>
        <w:pPr>
          <w:ind w:left="2000" w:hanging="180"/>
        </w:pPr>
      </w:lvl>
    </w:lvlOverride>
    <w:lvlOverride w:ilvl="4">
      <w:startOverride w:val="1"/>
      <w:lvl w:ilvl="4" w:tplc="B5589E9C">
        <w:start w:val="1"/>
        <w:numFmt w:val="decimal"/>
        <w:lvlText w:val="%5."/>
        <w:lvlJc w:val="right"/>
        <w:pPr>
          <w:ind w:left="2500" w:hanging="180"/>
        </w:pPr>
      </w:lvl>
    </w:lvlOverride>
    <w:lvlOverride w:ilvl="5">
      <w:startOverride w:val="1"/>
      <w:lvl w:ilvl="5" w:tplc="4AEA5170">
        <w:start w:val="1"/>
        <w:numFmt w:val="decimal"/>
        <w:lvlText w:val="%6."/>
        <w:lvlJc w:val="right"/>
        <w:pPr>
          <w:ind w:left="3000" w:hanging="180"/>
        </w:pPr>
      </w:lvl>
    </w:lvlOverride>
    <w:lvlOverride w:ilvl="6">
      <w:startOverride w:val="1"/>
      <w:lvl w:ilvl="6" w:tplc="96049670">
        <w:start w:val="1"/>
        <w:numFmt w:val="decimal"/>
        <w:lvlText w:val="%7."/>
        <w:lvlJc w:val="right"/>
        <w:pPr>
          <w:ind w:left="3500" w:hanging="180"/>
        </w:pPr>
      </w:lvl>
    </w:lvlOverride>
    <w:lvlOverride w:ilvl="7">
      <w:startOverride w:val="1"/>
      <w:lvl w:ilvl="7" w:tplc="C71653D0">
        <w:start w:val="1"/>
        <w:numFmt w:val="decimal"/>
        <w:lvlText w:val="%8."/>
        <w:lvlJc w:val="right"/>
        <w:pPr>
          <w:ind w:left="4000" w:hanging="180"/>
        </w:pPr>
      </w:lvl>
    </w:lvlOverride>
    <w:lvlOverride w:ilvl="8">
      <w:startOverride w:val="1"/>
      <w:lvl w:ilvl="8" w:tplc="DE560BDC">
        <w:start w:val="1"/>
        <w:numFmt w:val="decimal"/>
        <w:lvlText w:val="%9."/>
        <w:lvlJc w:val="right"/>
        <w:pPr>
          <w:ind w:left="4500" w:hanging="180"/>
        </w:pPr>
      </w:lvl>
    </w:lvlOverride>
  </w:num>
  <w:num w:numId="39" w16cid:durableId="847446097">
    <w:abstractNumId w:val="62"/>
    <w:lvlOverride w:ilvl="0">
      <w:startOverride w:val="1"/>
      <w:lvl w:ilvl="0" w:tplc="D628400C">
        <w:start w:val="1"/>
        <w:numFmt w:val="bullet"/>
        <w:lvlText w:val=""/>
        <w:lvlJc w:val="right"/>
        <w:pPr>
          <w:ind w:left="500" w:hanging="180"/>
        </w:pPr>
        <w:rPr>
          <w:rFonts w:ascii="Symbol" w:hAnsi="Symbol" w:hint="default"/>
        </w:rPr>
      </w:lvl>
    </w:lvlOverride>
    <w:lvlOverride w:ilvl="1">
      <w:startOverride w:val="1"/>
      <w:lvl w:ilvl="1" w:tplc="94B09D38">
        <w:start w:val="1"/>
        <w:numFmt w:val="decimal"/>
        <w:lvlText w:val="%2."/>
        <w:lvlJc w:val="right"/>
        <w:pPr>
          <w:ind w:left="1000" w:hanging="180"/>
        </w:pPr>
      </w:lvl>
    </w:lvlOverride>
    <w:lvlOverride w:ilvl="2">
      <w:startOverride w:val="1"/>
      <w:lvl w:ilvl="2" w:tplc="1696C6AC">
        <w:start w:val="1"/>
        <w:numFmt w:val="decimal"/>
        <w:lvlText w:val="%3."/>
        <w:lvlJc w:val="right"/>
        <w:pPr>
          <w:ind w:left="1500" w:hanging="180"/>
        </w:pPr>
      </w:lvl>
    </w:lvlOverride>
    <w:lvlOverride w:ilvl="3">
      <w:startOverride w:val="1"/>
      <w:lvl w:ilvl="3" w:tplc="657E255A">
        <w:start w:val="1"/>
        <w:numFmt w:val="decimal"/>
        <w:lvlText w:val="%4."/>
        <w:lvlJc w:val="right"/>
        <w:pPr>
          <w:ind w:left="2000" w:hanging="180"/>
        </w:pPr>
      </w:lvl>
    </w:lvlOverride>
    <w:lvlOverride w:ilvl="4">
      <w:startOverride w:val="1"/>
      <w:lvl w:ilvl="4" w:tplc="312A67B8">
        <w:start w:val="1"/>
        <w:numFmt w:val="decimal"/>
        <w:lvlText w:val="%5."/>
        <w:lvlJc w:val="right"/>
        <w:pPr>
          <w:ind w:left="2500" w:hanging="180"/>
        </w:pPr>
      </w:lvl>
    </w:lvlOverride>
    <w:lvlOverride w:ilvl="5">
      <w:startOverride w:val="1"/>
      <w:lvl w:ilvl="5" w:tplc="631246F8">
        <w:start w:val="1"/>
        <w:numFmt w:val="decimal"/>
        <w:lvlText w:val="%6."/>
        <w:lvlJc w:val="right"/>
        <w:pPr>
          <w:ind w:left="3000" w:hanging="180"/>
        </w:pPr>
      </w:lvl>
    </w:lvlOverride>
    <w:lvlOverride w:ilvl="6">
      <w:startOverride w:val="1"/>
      <w:lvl w:ilvl="6" w:tplc="FB0A684C">
        <w:start w:val="1"/>
        <w:numFmt w:val="decimal"/>
        <w:lvlText w:val="%7."/>
        <w:lvlJc w:val="right"/>
        <w:pPr>
          <w:ind w:left="3500" w:hanging="180"/>
        </w:pPr>
      </w:lvl>
    </w:lvlOverride>
    <w:lvlOverride w:ilvl="7">
      <w:startOverride w:val="1"/>
      <w:lvl w:ilvl="7" w:tplc="96A60A3A">
        <w:start w:val="1"/>
        <w:numFmt w:val="decimal"/>
        <w:lvlText w:val="%8."/>
        <w:lvlJc w:val="right"/>
        <w:pPr>
          <w:ind w:left="4000" w:hanging="180"/>
        </w:pPr>
      </w:lvl>
    </w:lvlOverride>
    <w:lvlOverride w:ilvl="8">
      <w:startOverride w:val="1"/>
      <w:lvl w:ilvl="8" w:tplc="B896F6BC">
        <w:start w:val="1"/>
        <w:numFmt w:val="decimal"/>
        <w:lvlText w:val="%9."/>
        <w:lvlJc w:val="right"/>
        <w:pPr>
          <w:ind w:left="4500" w:hanging="180"/>
        </w:pPr>
      </w:lvl>
    </w:lvlOverride>
  </w:num>
  <w:num w:numId="40" w16cid:durableId="103158725">
    <w:abstractNumId w:val="43"/>
    <w:lvlOverride w:ilvl="0">
      <w:startOverride w:val="1"/>
      <w:lvl w:ilvl="0" w:tplc="8618BF5C">
        <w:start w:val="1"/>
        <w:numFmt w:val="bullet"/>
        <w:lvlText w:val=""/>
        <w:lvlJc w:val="right"/>
        <w:pPr>
          <w:ind w:left="500" w:hanging="180"/>
        </w:pPr>
        <w:rPr>
          <w:rFonts w:ascii="Symbol" w:hAnsi="Symbol" w:hint="default"/>
        </w:rPr>
      </w:lvl>
    </w:lvlOverride>
    <w:lvlOverride w:ilvl="1">
      <w:startOverride w:val="1"/>
      <w:lvl w:ilvl="1" w:tplc="9D52CB18">
        <w:start w:val="1"/>
        <w:numFmt w:val="decimal"/>
        <w:lvlText w:val="%2."/>
        <w:lvlJc w:val="right"/>
        <w:pPr>
          <w:ind w:left="1000" w:hanging="180"/>
        </w:pPr>
      </w:lvl>
    </w:lvlOverride>
    <w:lvlOverride w:ilvl="2">
      <w:startOverride w:val="1"/>
      <w:lvl w:ilvl="2" w:tplc="F03A5F44">
        <w:start w:val="1"/>
        <w:numFmt w:val="decimal"/>
        <w:lvlText w:val="%3."/>
        <w:lvlJc w:val="right"/>
        <w:pPr>
          <w:ind w:left="1500" w:hanging="180"/>
        </w:pPr>
      </w:lvl>
    </w:lvlOverride>
    <w:lvlOverride w:ilvl="3">
      <w:startOverride w:val="1"/>
      <w:lvl w:ilvl="3" w:tplc="3E801876">
        <w:start w:val="1"/>
        <w:numFmt w:val="decimal"/>
        <w:lvlText w:val="%4."/>
        <w:lvlJc w:val="right"/>
        <w:pPr>
          <w:ind w:left="2000" w:hanging="180"/>
        </w:pPr>
      </w:lvl>
    </w:lvlOverride>
    <w:lvlOverride w:ilvl="4">
      <w:startOverride w:val="1"/>
      <w:lvl w:ilvl="4" w:tplc="C862E75A">
        <w:start w:val="1"/>
        <w:numFmt w:val="decimal"/>
        <w:lvlText w:val="%5."/>
        <w:lvlJc w:val="right"/>
        <w:pPr>
          <w:ind w:left="2500" w:hanging="180"/>
        </w:pPr>
      </w:lvl>
    </w:lvlOverride>
    <w:lvlOverride w:ilvl="5">
      <w:startOverride w:val="1"/>
      <w:lvl w:ilvl="5" w:tplc="101E8E32">
        <w:start w:val="1"/>
        <w:numFmt w:val="decimal"/>
        <w:lvlText w:val="%6."/>
        <w:lvlJc w:val="right"/>
        <w:pPr>
          <w:ind w:left="3000" w:hanging="180"/>
        </w:pPr>
      </w:lvl>
    </w:lvlOverride>
    <w:lvlOverride w:ilvl="6">
      <w:startOverride w:val="1"/>
      <w:lvl w:ilvl="6" w:tplc="90989CA8">
        <w:start w:val="1"/>
        <w:numFmt w:val="decimal"/>
        <w:lvlText w:val="%7."/>
        <w:lvlJc w:val="right"/>
        <w:pPr>
          <w:ind w:left="3500" w:hanging="180"/>
        </w:pPr>
      </w:lvl>
    </w:lvlOverride>
    <w:lvlOverride w:ilvl="7">
      <w:startOverride w:val="1"/>
      <w:lvl w:ilvl="7" w:tplc="8586D2CA">
        <w:start w:val="1"/>
        <w:numFmt w:val="decimal"/>
        <w:lvlText w:val="%8."/>
        <w:lvlJc w:val="right"/>
        <w:pPr>
          <w:ind w:left="4000" w:hanging="180"/>
        </w:pPr>
      </w:lvl>
    </w:lvlOverride>
    <w:lvlOverride w:ilvl="8">
      <w:startOverride w:val="1"/>
      <w:lvl w:ilvl="8" w:tplc="39E429F8">
        <w:start w:val="1"/>
        <w:numFmt w:val="decimal"/>
        <w:lvlText w:val="%9."/>
        <w:lvlJc w:val="right"/>
        <w:pPr>
          <w:ind w:left="4500" w:hanging="180"/>
        </w:pPr>
      </w:lvl>
    </w:lvlOverride>
  </w:num>
  <w:num w:numId="41" w16cid:durableId="207763381">
    <w:abstractNumId w:val="17"/>
    <w:lvlOverride w:ilvl="0">
      <w:startOverride w:val="1"/>
      <w:lvl w:ilvl="0" w:tplc="86169EF8">
        <w:start w:val="1"/>
        <w:numFmt w:val="bullet"/>
        <w:lvlText w:val=""/>
        <w:lvlJc w:val="right"/>
        <w:pPr>
          <w:ind w:left="500" w:hanging="180"/>
        </w:pPr>
        <w:rPr>
          <w:rFonts w:ascii="Symbol" w:hAnsi="Symbol" w:hint="default"/>
        </w:rPr>
      </w:lvl>
    </w:lvlOverride>
    <w:lvlOverride w:ilvl="1">
      <w:startOverride w:val="1"/>
      <w:lvl w:ilvl="1" w:tplc="3654AEE0">
        <w:start w:val="1"/>
        <w:numFmt w:val="decimal"/>
        <w:lvlText w:val="%2."/>
        <w:lvlJc w:val="right"/>
        <w:pPr>
          <w:ind w:left="1000" w:hanging="180"/>
        </w:pPr>
      </w:lvl>
    </w:lvlOverride>
    <w:lvlOverride w:ilvl="2">
      <w:startOverride w:val="1"/>
      <w:lvl w:ilvl="2" w:tplc="53229EDE">
        <w:start w:val="1"/>
        <w:numFmt w:val="decimal"/>
        <w:lvlText w:val="%3."/>
        <w:lvlJc w:val="right"/>
        <w:pPr>
          <w:ind w:left="1500" w:hanging="180"/>
        </w:pPr>
      </w:lvl>
    </w:lvlOverride>
    <w:lvlOverride w:ilvl="3">
      <w:startOverride w:val="1"/>
      <w:lvl w:ilvl="3" w:tplc="2362AEF0">
        <w:start w:val="1"/>
        <w:numFmt w:val="decimal"/>
        <w:lvlText w:val="%4."/>
        <w:lvlJc w:val="right"/>
        <w:pPr>
          <w:ind w:left="2000" w:hanging="180"/>
        </w:pPr>
      </w:lvl>
    </w:lvlOverride>
    <w:lvlOverride w:ilvl="4">
      <w:startOverride w:val="1"/>
      <w:lvl w:ilvl="4" w:tplc="AB4AB0A6">
        <w:start w:val="1"/>
        <w:numFmt w:val="decimal"/>
        <w:lvlText w:val="%5."/>
        <w:lvlJc w:val="right"/>
        <w:pPr>
          <w:ind w:left="2500" w:hanging="180"/>
        </w:pPr>
      </w:lvl>
    </w:lvlOverride>
    <w:lvlOverride w:ilvl="5">
      <w:startOverride w:val="1"/>
      <w:lvl w:ilvl="5" w:tplc="436CE9C6">
        <w:start w:val="1"/>
        <w:numFmt w:val="decimal"/>
        <w:lvlText w:val="%6."/>
        <w:lvlJc w:val="right"/>
        <w:pPr>
          <w:ind w:left="3000" w:hanging="180"/>
        </w:pPr>
      </w:lvl>
    </w:lvlOverride>
    <w:lvlOverride w:ilvl="6">
      <w:startOverride w:val="1"/>
      <w:lvl w:ilvl="6" w:tplc="1270D2AA">
        <w:start w:val="1"/>
        <w:numFmt w:val="decimal"/>
        <w:lvlText w:val="%7."/>
        <w:lvlJc w:val="right"/>
        <w:pPr>
          <w:ind w:left="3500" w:hanging="180"/>
        </w:pPr>
      </w:lvl>
    </w:lvlOverride>
    <w:lvlOverride w:ilvl="7">
      <w:startOverride w:val="1"/>
      <w:lvl w:ilvl="7" w:tplc="5CE2C336">
        <w:start w:val="1"/>
        <w:numFmt w:val="decimal"/>
        <w:lvlText w:val="%8."/>
        <w:lvlJc w:val="right"/>
        <w:pPr>
          <w:ind w:left="4000" w:hanging="180"/>
        </w:pPr>
      </w:lvl>
    </w:lvlOverride>
    <w:lvlOverride w:ilvl="8">
      <w:startOverride w:val="1"/>
      <w:lvl w:ilvl="8" w:tplc="83D4D432">
        <w:start w:val="1"/>
        <w:numFmt w:val="decimal"/>
        <w:lvlText w:val="%9."/>
        <w:lvlJc w:val="right"/>
        <w:pPr>
          <w:ind w:left="4500" w:hanging="180"/>
        </w:pPr>
      </w:lvl>
    </w:lvlOverride>
  </w:num>
  <w:num w:numId="42" w16cid:durableId="214700607">
    <w:abstractNumId w:val="77"/>
    <w:lvlOverride w:ilvl="0">
      <w:startOverride w:val="1"/>
      <w:lvl w:ilvl="0" w:tplc="65447312">
        <w:start w:val="1"/>
        <w:numFmt w:val="bullet"/>
        <w:lvlText w:val=""/>
        <w:lvlJc w:val="right"/>
        <w:pPr>
          <w:ind w:left="500" w:hanging="180"/>
        </w:pPr>
        <w:rPr>
          <w:rFonts w:ascii="Symbol" w:hAnsi="Symbol" w:hint="default"/>
        </w:rPr>
      </w:lvl>
    </w:lvlOverride>
    <w:lvlOverride w:ilvl="1">
      <w:startOverride w:val="1"/>
      <w:lvl w:ilvl="1" w:tplc="09125320">
        <w:start w:val="1"/>
        <w:numFmt w:val="decimal"/>
        <w:lvlText w:val="%2."/>
        <w:lvlJc w:val="right"/>
        <w:pPr>
          <w:ind w:left="1000" w:hanging="180"/>
        </w:pPr>
      </w:lvl>
    </w:lvlOverride>
    <w:lvlOverride w:ilvl="2">
      <w:startOverride w:val="1"/>
      <w:lvl w:ilvl="2" w:tplc="6FC8A36C">
        <w:start w:val="1"/>
        <w:numFmt w:val="decimal"/>
        <w:lvlText w:val="%3."/>
        <w:lvlJc w:val="right"/>
        <w:pPr>
          <w:ind w:left="1500" w:hanging="180"/>
        </w:pPr>
      </w:lvl>
    </w:lvlOverride>
    <w:lvlOverride w:ilvl="3">
      <w:startOverride w:val="1"/>
      <w:lvl w:ilvl="3" w:tplc="004E10A4">
        <w:start w:val="1"/>
        <w:numFmt w:val="decimal"/>
        <w:lvlText w:val="%4."/>
        <w:lvlJc w:val="right"/>
        <w:pPr>
          <w:ind w:left="2000" w:hanging="180"/>
        </w:pPr>
      </w:lvl>
    </w:lvlOverride>
    <w:lvlOverride w:ilvl="4">
      <w:startOverride w:val="1"/>
      <w:lvl w:ilvl="4" w:tplc="E2BCE73C">
        <w:start w:val="1"/>
        <w:numFmt w:val="decimal"/>
        <w:lvlText w:val="%5."/>
        <w:lvlJc w:val="right"/>
        <w:pPr>
          <w:ind w:left="2500" w:hanging="180"/>
        </w:pPr>
      </w:lvl>
    </w:lvlOverride>
    <w:lvlOverride w:ilvl="5">
      <w:startOverride w:val="1"/>
      <w:lvl w:ilvl="5" w:tplc="871CBA1C">
        <w:start w:val="1"/>
        <w:numFmt w:val="decimal"/>
        <w:lvlText w:val="%6."/>
        <w:lvlJc w:val="right"/>
        <w:pPr>
          <w:ind w:left="3000" w:hanging="180"/>
        </w:pPr>
      </w:lvl>
    </w:lvlOverride>
    <w:lvlOverride w:ilvl="6">
      <w:startOverride w:val="1"/>
      <w:lvl w:ilvl="6" w:tplc="448AD8E0">
        <w:start w:val="1"/>
        <w:numFmt w:val="decimal"/>
        <w:lvlText w:val="%7."/>
        <w:lvlJc w:val="right"/>
        <w:pPr>
          <w:ind w:left="3500" w:hanging="180"/>
        </w:pPr>
      </w:lvl>
    </w:lvlOverride>
    <w:lvlOverride w:ilvl="7">
      <w:startOverride w:val="1"/>
      <w:lvl w:ilvl="7" w:tplc="8A0ED4E8">
        <w:start w:val="1"/>
        <w:numFmt w:val="decimal"/>
        <w:lvlText w:val="%8."/>
        <w:lvlJc w:val="right"/>
        <w:pPr>
          <w:ind w:left="4000" w:hanging="180"/>
        </w:pPr>
      </w:lvl>
    </w:lvlOverride>
    <w:lvlOverride w:ilvl="8">
      <w:startOverride w:val="1"/>
      <w:lvl w:ilvl="8" w:tplc="42EA64EE">
        <w:start w:val="1"/>
        <w:numFmt w:val="decimal"/>
        <w:lvlText w:val="%9."/>
        <w:lvlJc w:val="right"/>
        <w:pPr>
          <w:ind w:left="4500" w:hanging="180"/>
        </w:pPr>
      </w:lvl>
    </w:lvlOverride>
  </w:num>
  <w:num w:numId="43" w16cid:durableId="1946383389">
    <w:abstractNumId w:val="52"/>
    <w:lvlOverride w:ilvl="0">
      <w:startOverride w:val="1"/>
      <w:lvl w:ilvl="0" w:tplc="5108008A">
        <w:start w:val="1"/>
        <w:numFmt w:val="bullet"/>
        <w:lvlText w:val=""/>
        <w:lvlJc w:val="right"/>
        <w:pPr>
          <w:ind w:left="500" w:hanging="180"/>
        </w:pPr>
        <w:rPr>
          <w:rFonts w:ascii="Symbol" w:hAnsi="Symbol" w:hint="default"/>
        </w:rPr>
      </w:lvl>
    </w:lvlOverride>
    <w:lvlOverride w:ilvl="1">
      <w:startOverride w:val="1"/>
      <w:lvl w:ilvl="1" w:tplc="1E44857C">
        <w:start w:val="1"/>
        <w:numFmt w:val="decimal"/>
        <w:lvlText w:val="%2."/>
        <w:lvlJc w:val="right"/>
        <w:pPr>
          <w:ind w:left="1000" w:hanging="180"/>
        </w:pPr>
      </w:lvl>
    </w:lvlOverride>
    <w:lvlOverride w:ilvl="2">
      <w:startOverride w:val="1"/>
      <w:lvl w:ilvl="2" w:tplc="6A5CE648">
        <w:start w:val="1"/>
        <w:numFmt w:val="decimal"/>
        <w:lvlText w:val="%3."/>
        <w:lvlJc w:val="right"/>
        <w:pPr>
          <w:ind w:left="1500" w:hanging="180"/>
        </w:pPr>
      </w:lvl>
    </w:lvlOverride>
    <w:lvlOverride w:ilvl="3">
      <w:startOverride w:val="1"/>
      <w:lvl w:ilvl="3" w:tplc="1960D03E">
        <w:start w:val="1"/>
        <w:numFmt w:val="decimal"/>
        <w:lvlText w:val="%4."/>
        <w:lvlJc w:val="right"/>
        <w:pPr>
          <w:ind w:left="2000" w:hanging="180"/>
        </w:pPr>
      </w:lvl>
    </w:lvlOverride>
    <w:lvlOverride w:ilvl="4">
      <w:startOverride w:val="1"/>
      <w:lvl w:ilvl="4" w:tplc="73DE87EE">
        <w:start w:val="1"/>
        <w:numFmt w:val="decimal"/>
        <w:lvlText w:val="%5."/>
        <w:lvlJc w:val="right"/>
        <w:pPr>
          <w:ind w:left="2500" w:hanging="180"/>
        </w:pPr>
      </w:lvl>
    </w:lvlOverride>
    <w:lvlOverride w:ilvl="5">
      <w:startOverride w:val="1"/>
      <w:lvl w:ilvl="5" w:tplc="3F3AF956">
        <w:start w:val="1"/>
        <w:numFmt w:val="decimal"/>
        <w:lvlText w:val="%6."/>
        <w:lvlJc w:val="right"/>
        <w:pPr>
          <w:ind w:left="3000" w:hanging="180"/>
        </w:pPr>
      </w:lvl>
    </w:lvlOverride>
    <w:lvlOverride w:ilvl="6">
      <w:startOverride w:val="1"/>
      <w:lvl w:ilvl="6" w:tplc="DA8494FA">
        <w:start w:val="1"/>
        <w:numFmt w:val="decimal"/>
        <w:lvlText w:val="%7."/>
        <w:lvlJc w:val="right"/>
        <w:pPr>
          <w:ind w:left="3500" w:hanging="180"/>
        </w:pPr>
      </w:lvl>
    </w:lvlOverride>
    <w:lvlOverride w:ilvl="7">
      <w:startOverride w:val="1"/>
      <w:lvl w:ilvl="7" w:tplc="AB7894DC">
        <w:start w:val="1"/>
        <w:numFmt w:val="decimal"/>
        <w:lvlText w:val="%8."/>
        <w:lvlJc w:val="right"/>
        <w:pPr>
          <w:ind w:left="4000" w:hanging="180"/>
        </w:pPr>
      </w:lvl>
    </w:lvlOverride>
    <w:lvlOverride w:ilvl="8">
      <w:startOverride w:val="1"/>
      <w:lvl w:ilvl="8" w:tplc="3C7A8440">
        <w:start w:val="1"/>
        <w:numFmt w:val="decimal"/>
        <w:lvlText w:val="%9."/>
        <w:lvlJc w:val="right"/>
        <w:pPr>
          <w:ind w:left="4500" w:hanging="180"/>
        </w:pPr>
      </w:lvl>
    </w:lvlOverride>
  </w:num>
  <w:num w:numId="44" w16cid:durableId="1594899678">
    <w:abstractNumId w:val="18"/>
    <w:lvlOverride w:ilvl="0">
      <w:startOverride w:val="1"/>
      <w:lvl w:ilvl="0" w:tplc="C53C2B0E">
        <w:start w:val="1"/>
        <w:numFmt w:val="bullet"/>
        <w:lvlText w:val=""/>
        <w:lvlJc w:val="right"/>
        <w:pPr>
          <w:ind w:left="500" w:hanging="180"/>
        </w:pPr>
        <w:rPr>
          <w:rFonts w:ascii="Symbol" w:hAnsi="Symbol" w:hint="default"/>
        </w:rPr>
      </w:lvl>
    </w:lvlOverride>
    <w:lvlOverride w:ilvl="1">
      <w:startOverride w:val="1"/>
      <w:lvl w:ilvl="1" w:tplc="2A382AE6">
        <w:start w:val="1"/>
        <w:numFmt w:val="decimal"/>
        <w:lvlText w:val="%2."/>
        <w:lvlJc w:val="right"/>
        <w:pPr>
          <w:ind w:left="1000" w:hanging="180"/>
        </w:pPr>
      </w:lvl>
    </w:lvlOverride>
    <w:lvlOverride w:ilvl="2">
      <w:startOverride w:val="1"/>
      <w:lvl w:ilvl="2" w:tplc="06AC3FB0">
        <w:start w:val="1"/>
        <w:numFmt w:val="decimal"/>
        <w:lvlText w:val="%3."/>
        <w:lvlJc w:val="right"/>
        <w:pPr>
          <w:ind w:left="1500" w:hanging="180"/>
        </w:pPr>
      </w:lvl>
    </w:lvlOverride>
    <w:lvlOverride w:ilvl="3">
      <w:startOverride w:val="1"/>
      <w:lvl w:ilvl="3" w:tplc="CDE099EC">
        <w:start w:val="1"/>
        <w:numFmt w:val="decimal"/>
        <w:lvlText w:val="%4."/>
        <w:lvlJc w:val="right"/>
        <w:pPr>
          <w:ind w:left="2000" w:hanging="180"/>
        </w:pPr>
      </w:lvl>
    </w:lvlOverride>
    <w:lvlOverride w:ilvl="4">
      <w:startOverride w:val="1"/>
      <w:lvl w:ilvl="4" w:tplc="9D40324E">
        <w:start w:val="1"/>
        <w:numFmt w:val="decimal"/>
        <w:lvlText w:val="%5."/>
        <w:lvlJc w:val="right"/>
        <w:pPr>
          <w:ind w:left="2500" w:hanging="180"/>
        </w:pPr>
      </w:lvl>
    </w:lvlOverride>
    <w:lvlOverride w:ilvl="5">
      <w:startOverride w:val="1"/>
      <w:lvl w:ilvl="5" w:tplc="490E3406">
        <w:start w:val="1"/>
        <w:numFmt w:val="decimal"/>
        <w:lvlText w:val="%6."/>
        <w:lvlJc w:val="right"/>
        <w:pPr>
          <w:ind w:left="3000" w:hanging="180"/>
        </w:pPr>
      </w:lvl>
    </w:lvlOverride>
    <w:lvlOverride w:ilvl="6">
      <w:startOverride w:val="1"/>
      <w:lvl w:ilvl="6" w:tplc="59F43D32">
        <w:start w:val="1"/>
        <w:numFmt w:val="decimal"/>
        <w:lvlText w:val="%7."/>
        <w:lvlJc w:val="right"/>
        <w:pPr>
          <w:ind w:left="3500" w:hanging="180"/>
        </w:pPr>
      </w:lvl>
    </w:lvlOverride>
    <w:lvlOverride w:ilvl="7">
      <w:startOverride w:val="1"/>
      <w:lvl w:ilvl="7" w:tplc="0E10BF94">
        <w:start w:val="1"/>
        <w:numFmt w:val="decimal"/>
        <w:lvlText w:val="%8."/>
        <w:lvlJc w:val="right"/>
        <w:pPr>
          <w:ind w:left="4000" w:hanging="180"/>
        </w:pPr>
      </w:lvl>
    </w:lvlOverride>
    <w:lvlOverride w:ilvl="8">
      <w:startOverride w:val="1"/>
      <w:lvl w:ilvl="8" w:tplc="25E411F2">
        <w:start w:val="1"/>
        <w:numFmt w:val="decimal"/>
        <w:lvlText w:val="%9."/>
        <w:lvlJc w:val="right"/>
        <w:pPr>
          <w:ind w:left="4500" w:hanging="180"/>
        </w:pPr>
      </w:lvl>
    </w:lvlOverride>
  </w:num>
  <w:num w:numId="45" w16cid:durableId="1815296894">
    <w:abstractNumId w:val="62"/>
    <w:lvlOverride w:ilvl="0">
      <w:startOverride w:val="1"/>
      <w:lvl w:ilvl="0" w:tplc="D628400C">
        <w:start w:val="1"/>
        <w:numFmt w:val="bullet"/>
        <w:lvlText w:val=""/>
        <w:lvlJc w:val="right"/>
        <w:pPr>
          <w:ind w:left="500" w:hanging="180"/>
        </w:pPr>
        <w:rPr>
          <w:rFonts w:ascii="Symbol" w:hAnsi="Symbol" w:hint="default"/>
        </w:rPr>
      </w:lvl>
    </w:lvlOverride>
    <w:lvlOverride w:ilvl="1">
      <w:startOverride w:val="1"/>
      <w:lvl w:ilvl="1" w:tplc="94B09D38">
        <w:start w:val="1"/>
        <w:numFmt w:val="decimal"/>
        <w:lvlText w:val="%2."/>
        <w:lvlJc w:val="right"/>
        <w:pPr>
          <w:ind w:left="1000" w:hanging="180"/>
        </w:pPr>
      </w:lvl>
    </w:lvlOverride>
    <w:lvlOverride w:ilvl="2">
      <w:startOverride w:val="1"/>
      <w:lvl w:ilvl="2" w:tplc="1696C6AC">
        <w:start w:val="1"/>
        <w:numFmt w:val="decimal"/>
        <w:lvlText w:val="%3."/>
        <w:lvlJc w:val="right"/>
        <w:pPr>
          <w:ind w:left="1500" w:hanging="180"/>
        </w:pPr>
      </w:lvl>
    </w:lvlOverride>
    <w:lvlOverride w:ilvl="3">
      <w:startOverride w:val="1"/>
      <w:lvl w:ilvl="3" w:tplc="657E255A">
        <w:start w:val="1"/>
        <w:numFmt w:val="decimal"/>
        <w:lvlText w:val="%4."/>
        <w:lvlJc w:val="right"/>
        <w:pPr>
          <w:ind w:left="2000" w:hanging="180"/>
        </w:pPr>
      </w:lvl>
    </w:lvlOverride>
    <w:lvlOverride w:ilvl="4">
      <w:startOverride w:val="1"/>
      <w:lvl w:ilvl="4" w:tplc="312A67B8">
        <w:start w:val="1"/>
        <w:numFmt w:val="decimal"/>
        <w:lvlText w:val="%5."/>
        <w:lvlJc w:val="right"/>
        <w:pPr>
          <w:ind w:left="2500" w:hanging="180"/>
        </w:pPr>
      </w:lvl>
    </w:lvlOverride>
    <w:lvlOverride w:ilvl="5">
      <w:startOverride w:val="1"/>
      <w:lvl w:ilvl="5" w:tplc="631246F8">
        <w:start w:val="1"/>
        <w:numFmt w:val="decimal"/>
        <w:lvlText w:val="%6."/>
        <w:lvlJc w:val="right"/>
        <w:pPr>
          <w:ind w:left="3000" w:hanging="180"/>
        </w:pPr>
      </w:lvl>
    </w:lvlOverride>
    <w:lvlOverride w:ilvl="6">
      <w:startOverride w:val="1"/>
      <w:lvl w:ilvl="6" w:tplc="FB0A684C">
        <w:start w:val="1"/>
        <w:numFmt w:val="decimal"/>
        <w:lvlText w:val="%7."/>
        <w:lvlJc w:val="right"/>
        <w:pPr>
          <w:ind w:left="3500" w:hanging="180"/>
        </w:pPr>
      </w:lvl>
    </w:lvlOverride>
    <w:lvlOverride w:ilvl="7">
      <w:startOverride w:val="1"/>
      <w:lvl w:ilvl="7" w:tplc="96A60A3A">
        <w:start w:val="1"/>
        <w:numFmt w:val="decimal"/>
        <w:lvlText w:val="%8."/>
        <w:lvlJc w:val="right"/>
        <w:pPr>
          <w:ind w:left="4000" w:hanging="180"/>
        </w:pPr>
      </w:lvl>
    </w:lvlOverride>
    <w:lvlOverride w:ilvl="8">
      <w:startOverride w:val="1"/>
      <w:lvl w:ilvl="8" w:tplc="B896F6BC">
        <w:start w:val="1"/>
        <w:numFmt w:val="decimal"/>
        <w:lvlText w:val="%9."/>
        <w:lvlJc w:val="right"/>
        <w:pPr>
          <w:ind w:left="4500" w:hanging="180"/>
        </w:pPr>
      </w:lvl>
    </w:lvlOverride>
  </w:num>
  <w:num w:numId="46" w16cid:durableId="932976702">
    <w:abstractNumId w:val="17"/>
    <w:lvlOverride w:ilvl="0">
      <w:startOverride w:val="1"/>
      <w:lvl w:ilvl="0" w:tplc="86169EF8">
        <w:start w:val="1"/>
        <w:numFmt w:val="bullet"/>
        <w:lvlText w:val=""/>
        <w:lvlJc w:val="right"/>
        <w:pPr>
          <w:ind w:left="500" w:hanging="180"/>
        </w:pPr>
        <w:rPr>
          <w:rFonts w:ascii="Symbol" w:hAnsi="Symbol" w:hint="default"/>
        </w:rPr>
      </w:lvl>
    </w:lvlOverride>
    <w:lvlOverride w:ilvl="1">
      <w:startOverride w:val="1"/>
      <w:lvl w:ilvl="1" w:tplc="3654AEE0">
        <w:start w:val="1"/>
        <w:numFmt w:val="decimal"/>
        <w:lvlText w:val="%2."/>
        <w:lvlJc w:val="right"/>
        <w:pPr>
          <w:ind w:left="1000" w:hanging="180"/>
        </w:pPr>
      </w:lvl>
    </w:lvlOverride>
    <w:lvlOverride w:ilvl="2">
      <w:startOverride w:val="1"/>
      <w:lvl w:ilvl="2" w:tplc="53229EDE">
        <w:start w:val="1"/>
        <w:numFmt w:val="decimal"/>
        <w:lvlText w:val="%3."/>
        <w:lvlJc w:val="right"/>
        <w:pPr>
          <w:ind w:left="1500" w:hanging="180"/>
        </w:pPr>
      </w:lvl>
    </w:lvlOverride>
    <w:lvlOverride w:ilvl="3">
      <w:startOverride w:val="1"/>
      <w:lvl w:ilvl="3" w:tplc="2362AEF0">
        <w:start w:val="1"/>
        <w:numFmt w:val="decimal"/>
        <w:lvlText w:val="%4."/>
        <w:lvlJc w:val="right"/>
        <w:pPr>
          <w:ind w:left="2000" w:hanging="180"/>
        </w:pPr>
      </w:lvl>
    </w:lvlOverride>
    <w:lvlOverride w:ilvl="4">
      <w:startOverride w:val="1"/>
      <w:lvl w:ilvl="4" w:tplc="AB4AB0A6">
        <w:start w:val="1"/>
        <w:numFmt w:val="decimal"/>
        <w:lvlText w:val="%5."/>
        <w:lvlJc w:val="right"/>
        <w:pPr>
          <w:ind w:left="2500" w:hanging="180"/>
        </w:pPr>
      </w:lvl>
    </w:lvlOverride>
    <w:lvlOverride w:ilvl="5">
      <w:startOverride w:val="1"/>
      <w:lvl w:ilvl="5" w:tplc="436CE9C6">
        <w:start w:val="1"/>
        <w:numFmt w:val="decimal"/>
        <w:lvlText w:val="%6."/>
        <w:lvlJc w:val="right"/>
        <w:pPr>
          <w:ind w:left="3000" w:hanging="180"/>
        </w:pPr>
      </w:lvl>
    </w:lvlOverride>
    <w:lvlOverride w:ilvl="6">
      <w:startOverride w:val="1"/>
      <w:lvl w:ilvl="6" w:tplc="1270D2AA">
        <w:start w:val="1"/>
        <w:numFmt w:val="decimal"/>
        <w:lvlText w:val="%7."/>
        <w:lvlJc w:val="right"/>
        <w:pPr>
          <w:ind w:left="3500" w:hanging="180"/>
        </w:pPr>
      </w:lvl>
    </w:lvlOverride>
    <w:lvlOverride w:ilvl="7">
      <w:startOverride w:val="1"/>
      <w:lvl w:ilvl="7" w:tplc="5CE2C336">
        <w:start w:val="1"/>
        <w:numFmt w:val="decimal"/>
        <w:lvlText w:val="%8."/>
        <w:lvlJc w:val="right"/>
        <w:pPr>
          <w:ind w:left="4000" w:hanging="180"/>
        </w:pPr>
      </w:lvl>
    </w:lvlOverride>
    <w:lvlOverride w:ilvl="8">
      <w:startOverride w:val="1"/>
      <w:lvl w:ilvl="8" w:tplc="83D4D432">
        <w:start w:val="1"/>
        <w:numFmt w:val="decimal"/>
        <w:lvlText w:val="%9."/>
        <w:lvlJc w:val="right"/>
        <w:pPr>
          <w:ind w:left="4500" w:hanging="180"/>
        </w:pPr>
      </w:lvl>
    </w:lvlOverride>
  </w:num>
  <w:num w:numId="47" w16cid:durableId="733629152">
    <w:abstractNumId w:val="83"/>
    <w:lvlOverride w:ilvl="0">
      <w:startOverride w:val="1"/>
      <w:lvl w:ilvl="0" w:tplc="68BA2792">
        <w:start w:val="1"/>
        <w:numFmt w:val="bullet"/>
        <w:lvlText w:val=""/>
        <w:lvlJc w:val="right"/>
        <w:pPr>
          <w:ind w:left="500" w:hanging="180"/>
        </w:pPr>
        <w:rPr>
          <w:rFonts w:ascii="Symbol" w:hAnsi="Symbol" w:hint="default"/>
        </w:rPr>
      </w:lvl>
    </w:lvlOverride>
    <w:lvlOverride w:ilvl="1">
      <w:startOverride w:val="1"/>
      <w:lvl w:ilvl="1" w:tplc="6786FF34">
        <w:start w:val="1"/>
        <w:numFmt w:val="decimal"/>
        <w:lvlText w:val="%2."/>
        <w:lvlJc w:val="right"/>
        <w:pPr>
          <w:ind w:left="1000" w:hanging="180"/>
        </w:pPr>
      </w:lvl>
    </w:lvlOverride>
    <w:lvlOverride w:ilvl="2">
      <w:startOverride w:val="1"/>
      <w:lvl w:ilvl="2" w:tplc="1CB6B148">
        <w:start w:val="1"/>
        <w:numFmt w:val="decimal"/>
        <w:lvlText w:val="%3."/>
        <w:lvlJc w:val="right"/>
        <w:pPr>
          <w:ind w:left="1500" w:hanging="180"/>
        </w:pPr>
      </w:lvl>
    </w:lvlOverride>
    <w:lvlOverride w:ilvl="3">
      <w:startOverride w:val="1"/>
      <w:lvl w:ilvl="3" w:tplc="C66E11CA">
        <w:start w:val="1"/>
        <w:numFmt w:val="decimal"/>
        <w:lvlText w:val="%4."/>
        <w:lvlJc w:val="right"/>
        <w:pPr>
          <w:ind w:left="2000" w:hanging="180"/>
        </w:pPr>
      </w:lvl>
    </w:lvlOverride>
    <w:lvlOverride w:ilvl="4">
      <w:startOverride w:val="1"/>
      <w:lvl w:ilvl="4" w:tplc="BB0EA826">
        <w:start w:val="1"/>
        <w:numFmt w:val="decimal"/>
        <w:lvlText w:val="%5."/>
        <w:lvlJc w:val="right"/>
        <w:pPr>
          <w:ind w:left="2500" w:hanging="180"/>
        </w:pPr>
      </w:lvl>
    </w:lvlOverride>
    <w:lvlOverride w:ilvl="5">
      <w:startOverride w:val="1"/>
      <w:lvl w:ilvl="5" w:tplc="22CA258E">
        <w:start w:val="1"/>
        <w:numFmt w:val="decimal"/>
        <w:lvlText w:val="%6."/>
        <w:lvlJc w:val="right"/>
        <w:pPr>
          <w:ind w:left="3000" w:hanging="180"/>
        </w:pPr>
      </w:lvl>
    </w:lvlOverride>
    <w:lvlOverride w:ilvl="6">
      <w:startOverride w:val="1"/>
      <w:lvl w:ilvl="6" w:tplc="041AAE9E">
        <w:start w:val="1"/>
        <w:numFmt w:val="decimal"/>
        <w:lvlText w:val="%7."/>
        <w:lvlJc w:val="right"/>
        <w:pPr>
          <w:ind w:left="3500" w:hanging="180"/>
        </w:pPr>
      </w:lvl>
    </w:lvlOverride>
    <w:lvlOverride w:ilvl="7">
      <w:startOverride w:val="1"/>
      <w:lvl w:ilvl="7" w:tplc="93246936">
        <w:start w:val="1"/>
        <w:numFmt w:val="decimal"/>
        <w:lvlText w:val="%8."/>
        <w:lvlJc w:val="right"/>
        <w:pPr>
          <w:ind w:left="4000" w:hanging="180"/>
        </w:pPr>
      </w:lvl>
    </w:lvlOverride>
    <w:lvlOverride w:ilvl="8">
      <w:startOverride w:val="1"/>
      <w:lvl w:ilvl="8" w:tplc="C06A5092">
        <w:start w:val="1"/>
        <w:numFmt w:val="decimal"/>
        <w:lvlText w:val="%9."/>
        <w:lvlJc w:val="right"/>
        <w:pPr>
          <w:ind w:left="4500" w:hanging="180"/>
        </w:pPr>
      </w:lvl>
    </w:lvlOverride>
  </w:num>
  <w:num w:numId="48" w16cid:durableId="2015838194">
    <w:abstractNumId w:val="43"/>
    <w:lvlOverride w:ilvl="0">
      <w:startOverride w:val="1"/>
      <w:lvl w:ilvl="0" w:tplc="8618BF5C">
        <w:start w:val="1"/>
        <w:numFmt w:val="bullet"/>
        <w:lvlText w:val=""/>
        <w:lvlJc w:val="right"/>
        <w:pPr>
          <w:ind w:left="500" w:hanging="180"/>
        </w:pPr>
        <w:rPr>
          <w:rFonts w:ascii="Symbol" w:hAnsi="Symbol" w:hint="default"/>
        </w:rPr>
      </w:lvl>
    </w:lvlOverride>
    <w:lvlOverride w:ilvl="1">
      <w:startOverride w:val="1"/>
      <w:lvl w:ilvl="1" w:tplc="9D52CB18">
        <w:start w:val="1"/>
        <w:numFmt w:val="decimal"/>
        <w:lvlText w:val="%2."/>
        <w:lvlJc w:val="right"/>
        <w:pPr>
          <w:ind w:left="1000" w:hanging="180"/>
        </w:pPr>
      </w:lvl>
    </w:lvlOverride>
    <w:lvlOverride w:ilvl="2">
      <w:startOverride w:val="1"/>
      <w:lvl w:ilvl="2" w:tplc="F03A5F44">
        <w:start w:val="1"/>
        <w:numFmt w:val="decimal"/>
        <w:lvlText w:val="%3."/>
        <w:lvlJc w:val="right"/>
        <w:pPr>
          <w:ind w:left="1500" w:hanging="180"/>
        </w:pPr>
      </w:lvl>
    </w:lvlOverride>
    <w:lvlOverride w:ilvl="3">
      <w:startOverride w:val="1"/>
      <w:lvl w:ilvl="3" w:tplc="3E801876">
        <w:start w:val="1"/>
        <w:numFmt w:val="decimal"/>
        <w:lvlText w:val="%4."/>
        <w:lvlJc w:val="right"/>
        <w:pPr>
          <w:ind w:left="2000" w:hanging="180"/>
        </w:pPr>
      </w:lvl>
    </w:lvlOverride>
    <w:lvlOverride w:ilvl="4">
      <w:startOverride w:val="1"/>
      <w:lvl w:ilvl="4" w:tplc="C862E75A">
        <w:start w:val="1"/>
        <w:numFmt w:val="decimal"/>
        <w:lvlText w:val="%5."/>
        <w:lvlJc w:val="right"/>
        <w:pPr>
          <w:ind w:left="2500" w:hanging="180"/>
        </w:pPr>
      </w:lvl>
    </w:lvlOverride>
    <w:lvlOverride w:ilvl="5">
      <w:startOverride w:val="1"/>
      <w:lvl w:ilvl="5" w:tplc="101E8E32">
        <w:start w:val="1"/>
        <w:numFmt w:val="decimal"/>
        <w:lvlText w:val="%6."/>
        <w:lvlJc w:val="right"/>
        <w:pPr>
          <w:ind w:left="3000" w:hanging="180"/>
        </w:pPr>
      </w:lvl>
    </w:lvlOverride>
    <w:lvlOverride w:ilvl="6">
      <w:startOverride w:val="1"/>
      <w:lvl w:ilvl="6" w:tplc="90989CA8">
        <w:start w:val="1"/>
        <w:numFmt w:val="decimal"/>
        <w:lvlText w:val="%7."/>
        <w:lvlJc w:val="right"/>
        <w:pPr>
          <w:ind w:left="3500" w:hanging="180"/>
        </w:pPr>
      </w:lvl>
    </w:lvlOverride>
    <w:lvlOverride w:ilvl="7">
      <w:startOverride w:val="1"/>
      <w:lvl w:ilvl="7" w:tplc="8586D2CA">
        <w:start w:val="1"/>
        <w:numFmt w:val="decimal"/>
        <w:lvlText w:val="%8."/>
        <w:lvlJc w:val="right"/>
        <w:pPr>
          <w:ind w:left="4000" w:hanging="180"/>
        </w:pPr>
      </w:lvl>
    </w:lvlOverride>
    <w:lvlOverride w:ilvl="8">
      <w:startOverride w:val="1"/>
      <w:lvl w:ilvl="8" w:tplc="39E429F8">
        <w:start w:val="1"/>
        <w:numFmt w:val="decimal"/>
        <w:lvlText w:val="%9."/>
        <w:lvlJc w:val="right"/>
        <w:pPr>
          <w:ind w:left="4500" w:hanging="180"/>
        </w:pPr>
      </w:lvl>
    </w:lvlOverride>
  </w:num>
  <w:num w:numId="49" w16cid:durableId="869536117">
    <w:abstractNumId w:val="74"/>
    <w:lvlOverride w:ilvl="0">
      <w:startOverride w:val="1"/>
      <w:lvl w:ilvl="0" w:tplc="A964FEF8">
        <w:start w:val="1"/>
        <w:numFmt w:val="bullet"/>
        <w:pStyle w:val="NumberParagraphAlpha"/>
        <w:lvlText w:val=""/>
        <w:lvlJc w:val="right"/>
        <w:pPr>
          <w:ind w:left="500" w:hanging="180"/>
        </w:pPr>
        <w:rPr>
          <w:rFonts w:ascii="Symbol" w:hAnsi="Symbol" w:hint="default"/>
        </w:rPr>
      </w:lvl>
    </w:lvlOverride>
    <w:lvlOverride w:ilvl="1">
      <w:startOverride w:val="1"/>
      <w:lvl w:ilvl="1" w:tplc="F372DFEC">
        <w:start w:val="1"/>
        <w:numFmt w:val="decimal"/>
        <w:lvlText w:val="%2."/>
        <w:lvlJc w:val="right"/>
        <w:pPr>
          <w:ind w:left="1000" w:hanging="180"/>
        </w:pPr>
      </w:lvl>
    </w:lvlOverride>
    <w:lvlOverride w:ilvl="2">
      <w:startOverride w:val="1"/>
      <w:lvl w:ilvl="2" w:tplc="11F401B4">
        <w:start w:val="1"/>
        <w:numFmt w:val="decimal"/>
        <w:lvlText w:val="%3."/>
        <w:lvlJc w:val="right"/>
        <w:pPr>
          <w:ind w:left="1500" w:hanging="180"/>
        </w:pPr>
      </w:lvl>
    </w:lvlOverride>
    <w:lvlOverride w:ilvl="3">
      <w:startOverride w:val="1"/>
      <w:lvl w:ilvl="3" w:tplc="A67C733E">
        <w:start w:val="1"/>
        <w:numFmt w:val="decimal"/>
        <w:lvlText w:val="%4."/>
        <w:lvlJc w:val="right"/>
        <w:pPr>
          <w:ind w:left="2000" w:hanging="180"/>
        </w:pPr>
      </w:lvl>
    </w:lvlOverride>
    <w:lvlOverride w:ilvl="4">
      <w:startOverride w:val="1"/>
      <w:lvl w:ilvl="4" w:tplc="AD3EC860">
        <w:start w:val="1"/>
        <w:numFmt w:val="decimal"/>
        <w:lvlText w:val="%5."/>
        <w:lvlJc w:val="right"/>
        <w:pPr>
          <w:ind w:left="2500" w:hanging="180"/>
        </w:pPr>
      </w:lvl>
    </w:lvlOverride>
    <w:lvlOverride w:ilvl="5">
      <w:startOverride w:val="1"/>
      <w:lvl w:ilvl="5" w:tplc="8236C5E8">
        <w:start w:val="1"/>
        <w:numFmt w:val="decimal"/>
        <w:lvlText w:val="%6."/>
        <w:lvlJc w:val="right"/>
        <w:pPr>
          <w:ind w:left="3000" w:hanging="180"/>
        </w:pPr>
      </w:lvl>
    </w:lvlOverride>
    <w:lvlOverride w:ilvl="6">
      <w:startOverride w:val="1"/>
      <w:lvl w:ilvl="6" w:tplc="0A305362">
        <w:start w:val="1"/>
        <w:numFmt w:val="decimal"/>
        <w:lvlText w:val="%7."/>
        <w:lvlJc w:val="right"/>
        <w:pPr>
          <w:ind w:left="3500" w:hanging="180"/>
        </w:pPr>
      </w:lvl>
    </w:lvlOverride>
    <w:lvlOverride w:ilvl="7">
      <w:startOverride w:val="1"/>
      <w:lvl w:ilvl="7" w:tplc="38904098">
        <w:start w:val="1"/>
        <w:numFmt w:val="decimal"/>
        <w:lvlText w:val="%8."/>
        <w:lvlJc w:val="right"/>
        <w:pPr>
          <w:ind w:left="4000" w:hanging="180"/>
        </w:pPr>
      </w:lvl>
    </w:lvlOverride>
    <w:lvlOverride w:ilvl="8">
      <w:startOverride w:val="1"/>
      <w:lvl w:ilvl="8" w:tplc="9916493C">
        <w:start w:val="1"/>
        <w:numFmt w:val="decimal"/>
        <w:lvlText w:val="%9."/>
        <w:lvlJc w:val="right"/>
        <w:pPr>
          <w:ind w:left="4500" w:hanging="180"/>
        </w:pPr>
      </w:lvl>
    </w:lvlOverride>
  </w:num>
  <w:num w:numId="50" w16cid:durableId="1570264979">
    <w:abstractNumId w:val="53"/>
    <w:lvlOverride w:ilvl="0">
      <w:startOverride w:val="1"/>
      <w:lvl w:ilvl="0" w:tplc="771A800C">
        <w:start w:val="1"/>
        <w:numFmt w:val="bullet"/>
        <w:lvlText w:val=""/>
        <w:lvlJc w:val="right"/>
        <w:pPr>
          <w:ind w:left="500" w:hanging="180"/>
        </w:pPr>
        <w:rPr>
          <w:rFonts w:ascii="Symbol" w:hAnsi="Symbol" w:hint="default"/>
        </w:rPr>
      </w:lvl>
    </w:lvlOverride>
    <w:lvlOverride w:ilvl="1">
      <w:startOverride w:val="1"/>
      <w:lvl w:ilvl="1" w:tplc="C734C524">
        <w:start w:val="1"/>
        <w:numFmt w:val="decimal"/>
        <w:lvlText w:val="%2."/>
        <w:lvlJc w:val="right"/>
        <w:pPr>
          <w:ind w:left="1000" w:hanging="180"/>
        </w:pPr>
      </w:lvl>
    </w:lvlOverride>
    <w:lvlOverride w:ilvl="2">
      <w:startOverride w:val="1"/>
      <w:lvl w:ilvl="2" w:tplc="9DB22920">
        <w:start w:val="1"/>
        <w:numFmt w:val="decimal"/>
        <w:lvlText w:val="%3."/>
        <w:lvlJc w:val="right"/>
        <w:pPr>
          <w:ind w:left="1500" w:hanging="180"/>
        </w:pPr>
      </w:lvl>
    </w:lvlOverride>
    <w:lvlOverride w:ilvl="3">
      <w:startOverride w:val="1"/>
      <w:lvl w:ilvl="3" w:tplc="2B6E7F18">
        <w:start w:val="1"/>
        <w:numFmt w:val="decimal"/>
        <w:lvlText w:val="%4."/>
        <w:lvlJc w:val="right"/>
        <w:pPr>
          <w:ind w:left="2000" w:hanging="180"/>
        </w:pPr>
      </w:lvl>
    </w:lvlOverride>
    <w:lvlOverride w:ilvl="4">
      <w:startOverride w:val="1"/>
      <w:lvl w:ilvl="4" w:tplc="5582E354">
        <w:start w:val="1"/>
        <w:numFmt w:val="decimal"/>
        <w:lvlText w:val="%5."/>
        <w:lvlJc w:val="right"/>
        <w:pPr>
          <w:ind w:left="2500" w:hanging="180"/>
        </w:pPr>
      </w:lvl>
    </w:lvlOverride>
    <w:lvlOverride w:ilvl="5">
      <w:startOverride w:val="1"/>
      <w:lvl w:ilvl="5" w:tplc="8DAEC1C6">
        <w:start w:val="1"/>
        <w:numFmt w:val="decimal"/>
        <w:lvlText w:val="%6."/>
        <w:lvlJc w:val="right"/>
        <w:pPr>
          <w:ind w:left="3000" w:hanging="180"/>
        </w:pPr>
      </w:lvl>
    </w:lvlOverride>
    <w:lvlOverride w:ilvl="6">
      <w:startOverride w:val="1"/>
      <w:lvl w:ilvl="6" w:tplc="6888844C">
        <w:start w:val="1"/>
        <w:numFmt w:val="decimal"/>
        <w:lvlText w:val="%7."/>
        <w:lvlJc w:val="right"/>
        <w:pPr>
          <w:ind w:left="3500" w:hanging="180"/>
        </w:pPr>
      </w:lvl>
    </w:lvlOverride>
    <w:lvlOverride w:ilvl="7">
      <w:startOverride w:val="1"/>
      <w:lvl w:ilvl="7" w:tplc="DFC062FE">
        <w:start w:val="1"/>
        <w:numFmt w:val="decimal"/>
        <w:lvlText w:val="%8."/>
        <w:lvlJc w:val="right"/>
        <w:pPr>
          <w:ind w:left="4000" w:hanging="180"/>
        </w:pPr>
      </w:lvl>
    </w:lvlOverride>
    <w:lvlOverride w:ilvl="8">
      <w:startOverride w:val="1"/>
      <w:lvl w:ilvl="8" w:tplc="0B344090">
        <w:start w:val="1"/>
        <w:numFmt w:val="decimal"/>
        <w:lvlText w:val="%9."/>
        <w:lvlJc w:val="right"/>
        <w:pPr>
          <w:ind w:left="4500" w:hanging="180"/>
        </w:pPr>
      </w:lvl>
    </w:lvlOverride>
  </w:num>
  <w:num w:numId="51" w16cid:durableId="1212037462">
    <w:abstractNumId w:val="53"/>
    <w:lvlOverride w:ilvl="0">
      <w:startOverride w:val="1"/>
      <w:lvl w:ilvl="0" w:tplc="771A800C">
        <w:start w:val="1"/>
        <w:numFmt w:val="bullet"/>
        <w:lvlText w:val=""/>
        <w:lvlJc w:val="right"/>
        <w:pPr>
          <w:ind w:left="500" w:hanging="180"/>
        </w:pPr>
        <w:rPr>
          <w:rFonts w:ascii="Symbol" w:hAnsi="Symbol" w:hint="default"/>
        </w:rPr>
      </w:lvl>
    </w:lvlOverride>
    <w:lvlOverride w:ilvl="1">
      <w:startOverride w:val="1"/>
      <w:lvl w:ilvl="1" w:tplc="C734C524">
        <w:start w:val="1"/>
        <w:numFmt w:val="decimal"/>
        <w:lvlText w:val="%2."/>
        <w:lvlJc w:val="right"/>
        <w:pPr>
          <w:ind w:left="1000" w:hanging="180"/>
        </w:pPr>
      </w:lvl>
    </w:lvlOverride>
    <w:lvlOverride w:ilvl="2">
      <w:startOverride w:val="1"/>
      <w:lvl w:ilvl="2" w:tplc="9DB22920">
        <w:start w:val="1"/>
        <w:numFmt w:val="decimal"/>
        <w:lvlText w:val="%3."/>
        <w:lvlJc w:val="right"/>
        <w:pPr>
          <w:ind w:left="1500" w:hanging="180"/>
        </w:pPr>
      </w:lvl>
    </w:lvlOverride>
    <w:lvlOverride w:ilvl="3">
      <w:startOverride w:val="1"/>
      <w:lvl w:ilvl="3" w:tplc="2B6E7F18">
        <w:start w:val="1"/>
        <w:numFmt w:val="decimal"/>
        <w:lvlText w:val="%4."/>
        <w:lvlJc w:val="right"/>
        <w:pPr>
          <w:ind w:left="2000" w:hanging="180"/>
        </w:pPr>
      </w:lvl>
    </w:lvlOverride>
    <w:lvlOverride w:ilvl="4">
      <w:startOverride w:val="1"/>
      <w:lvl w:ilvl="4" w:tplc="5582E354">
        <w:start w:val="1"/>
        <w:numFmt w:val="decimal"/>
        <w:lvlText w:val="%5."/>
        <w:lvlJc w:val="right"/>
        <w:pPr>
          <w:ind w:left="2500" w:hanging="180"/>
        </w:pPr>
      </w:lvl>
    </w:lvlOverride>
    <w:lvlOverride w:ilvl="5">
      <w:startOverride w:val="1"/>
      <w:lvl w:ilvl="5" w:tplc="8DAEC1C6">
        <w:start w:val="1"/>
        <w:numFmt w:val="decimal"/>
        <w:lvlText w:val="%6."/>
        <w:lvlJc w:val="right"/>
        <w:pPr>
          <w:ind w:left="3000" w:hanging="180"/>
        </w:pPr>
      </w:lvl>
    </w:lvlOverride>
    <w:lvlOverride w:ilvl="6">
      <w:startOverride w:val="1"/>
      <w:lvl w:ilvl="6" w:tplc="6888844C">
        <w:start w:val="1"/>
        <w:numFmt w:val="decimal"/>
        <w:lvlText w:val="%7."/>
        <w:lvlJc w:val="right"/>
        <w:pPr>
          <w:ind w:left="3500" w:hanging="180"/>
        </w:pPr>
      </w:lvl>
    </w:lvlOverride>
    <w:lvlOverride w:ilvl="7">
      <w:startOverride w:val="1"/>
      <w:lvl w:ilvl="7" w:tplc="DFC062FE">
        <w:start w:val="1"/>
        <w:numFmt w:val="decimal"/>
        <w:lvlText w:val="%8."/>
        <w:lvlJc w:val="right"/>
        <w:pPr>
          <w:ind w:left="4000" w:hanging="180"/>
        </w:pPr>
      </w:lvl>
    </w:lvlOverride>
    <w:lvlOverride w:ilvl="8">
      <w:startOverride w:val="1"/>
      <w:lvl w:ilvl="8" w:tplc="0B344090">
        <w:start w:val="1"/>
        <w:numFmt w:val="decimal"/>
        <w:lvlText w:val="%9."/>
        <w:lvlJc w:val="right"/>
        <w:pPr>
          <w:ind w:left="4500" w:hanging="180"/>
        </w:pPr>
      </w:lvl>
    </w:lvlOverride>
  </w:num>
  <w:num w:numId="52" w16cid:durableId="571818076">
    <w:abstractNumId w:val="53"/>
    <w:lvlOverride w:ilvl="0">
      <w:startOverride w:val="1"/>
      <w:lvl w:ilvl="0" w:tplc="771A800C">
        <w:start w:val="1"/>
        <w:numFmt w:val="bullet"/>
        <w:lvlText w:val=""/>
        <w:lvlJc w:val="right"/>
        <w:pPr>
          <w:ind w:left="500" w:hanging="180"/>
        </w:pPr>
        <w:rPr>
          <w:rFonts w:ascii="Symbol" w:hAnsi="Symbol" w:hint="default"/>
        </w:rPr>
      </w:lvl>
    </w:lvlOverride>
    <w:lvlOverride w:ilvl="1">
      <w:startOverride w:val="1"/>
      <w:lvl w:ilvl="1" w:tplc="C734C524">
        <w:start w:val="1"/>
        <w:numFmt w:val="decimal"/>
        <w:lvlText w:val="%2."/>
        <w:lvlJc w:val="right"/>
        <w:pPr>
          <w:ind w:left="1000" w:hanging="180"/>
        </w:pPr>
      </w:lvl>
    </w:lvlOverride>
    <w:lvlOverride w:ilvl="2">
      <w:startOverride w:val="1"/>
      <w:lvl w:ilvl="2" w:tplc="9DB22920">
        <w:start w:val="1"/>
        <w:numFmt w:val="decimal"/>
        <w:lvlText w:val="%3."/>
        <w:lvlJc w:val="right"/>
        <w:pPr>
          <w:ind w:left="1500" w:hanging="180"/>
        </w:pPr>
      </w:lvl>
    </w:lvlOverride>
    <w:lvlOverride w:ilvl="3">
      <w:startOverride w:val="1"/>
      <w:lvl w:ilvl="3" w:tplc="2B6E7F18">
        <w:start w:val="1"/>
        <w:numFmt w:val="decimal"/>
        <w:lvlText w:val="%4."/>
        <w:lvlJc w:val="right"/>
        <w:pPr>
          <w:ind w:left="2000" w:hanging="180"/>
        </w:pPr>
      </w:lvl>
    </w:lvlOverride>
    <w:lvlOverride w:ilvl="4">
      <w:startOverride w:val="1"/>
      <w:lvl w:ilvl="4" w:tplc="5582E354">
        <w:start w:val="1"/>
        <w:numFmt w:val="decimal"/>
        <w:lvlText w:val="%5."/>
        <w:lvlJc w:val="right"/>
        <w:pPr>
          <w:ind w:left="2500" w:hanging="180"/>
        </w:pPr>
      </w:lvl>
    </w:lvlOverride>
    <w:lvlOverride w:ilvl="5">
      <w:startOverride w:val="1"/>
      <w:lvl w:ilvl="5" w:tplc="8DAEC1C6">
        <w:start w:val="1"/>
        <w:numFmt w:val="decimal"/>
        <w:lvlText w:val="%6."/>
        <w:lvlJc w:val="right"/>
        <w:pPr>
          <w:ind w:left="3000" w:hanging="180"/>
        </w:pPr>
      </w:lvl>
    </w:lvlOverride>
    <w:lvlOverride w:ilvl="6">
      <w:startOverride w:val="1"/>
      <w:lvl w:ilvl="6" w:tplc="6888844C">
        <w:start w:val="1"/>
        <w:numFmt w:val="decimal"/>
        <w:lvlText w:val="%7."/>
        <w:lvlJc w:val="right"/>
        <w:pPr>
          <w:ind w:left="3500" w:hanging="180"/>
        </w:pPr>
      </w:lvl>
    </w:lvlOverride>
    <w:lvlOverride w:ilvl="7">
      <w:startOverride w:val="1"/>
      <w:lvl w:ilvl="7" w:tplc="DFC062FE">
        <w:start w:val="1"/>
        <w:numFmt w:val="decimal"/>
        <w:lvlText w:val="%8."/>
        <w:lvlJc w:val="right"/>
        <w:pPr>
          <w:ind w:left="4000" w:hanging="180"/>
        </w:pPr>
      </w:lvl>
    </w:lvlOverride>
    <w:lvlOverride w:ilvl="8">
      <w:startOverride w:val="1"/>
      <w:lvl w:ilvl="8" w:tplc="0B344090">
        <w:start w:val="1"/>
        <w:numFmt w:val="decimal"/>
        <w:lvlText w:val="%9."/>
        <w:lvlJc w:val="right"/>
        <w:pPr>
          <w:ind w:left="4500" w:hanging="180"/>
        </w:pPr>
      </w:lvl>
    </w:lvlOverride>
  </w:num>
  <w:num w:numId="53" w16cid:durableId="1245144638">
    <w:abstractNumId w:val="74"/>
    <w:lvlOverride w:ilvl="0">
      <w:startOverride w:val="1"/>
      <w:lvl w:ilvl="0" w:tplc="A964FEF8">
        <w:start w:val="1"/>
        <w:numFmt w:val="bullet"/>
        <w:pStyle w:val="NumberParagraphAlpha"/>
        <w:lvlText w:val=""/>
        <w:lvlJc w:val="right"/>
        <w:pPr>
          <w:ind w:left="500" w:hanging="180"/>
        </w:pPr>
        <w:rPr>
          <w:rFonts w:ascii="Symbol" w:hAnsi="Symbol" w:hint="default"/>
        </w:rPr>
      </w:lvl>
    </w:lvlOverride>
    <w:lvlOverride w:ilvl="1">
      <w:startOverride w:val="1"/>
      <w:lvl w:ilvl="1" w:tplc="F372DFEC">
        <w:start w:val="1"/>
        <w:numFmt w:val="decimal"/>
        <w:lvlText w:val="%2."/>
        <w:lvlJc w:val="right"/>
        <w:pPr>
          <w:ind w:left="1000" w:hanging="180"/>
        </w:pPr>
      </w:lvl>
    </w:lvlOverride>
    <w:lvlOverride w:ilvl="2">
      <w:startOverride w:val="1"/>
      <w:lvl w:ilvl="2" w:tplc="11F401B4">
        <w:start w:val="1"/>
        <w:numFmt w:val="decimal"/>
        <w:lvlText w:val="%3."/>
        <w:lvlJc w:val="right"/>
        <w:pPr>
          <w:ind w:left="1500" w:hanging="180"/>
        </w:pPr>
      </w:lvl>
    </w:lvlOverride>
    <w:lvlOverride w:ilvl="3">
      <w:startOverride w:val="1"/>
      <w:lvl w:ilvl="3" w:tplc="A67C733E">
        <w:start w:val="1"/>
        <w:numFmt w:val="decimal"/>
        <w:lvlText w:val="%4."/>
        <w:lvlJc w:val="right"/>
        <w:pPr>
          <w:ind w:left="2000" w:hanging="180"/>
        </w:pPr>
      </w:lvl>
    </w:lvlOverride>
    <w:lvlOverride w:ilvl="4">
      <w:startOverride w:val="1"/>
      <w:lvl w:ilvl="4" w:tplc="AD3EC860">
        <w:start w:val="1"/>
        <w:numFmt w:val="decimal"/>
        <w:lvlText w:val="%5."/>
        <w:lvlJc w:val="right"/>
        <w:pPr>
          <w:ind w:left="2500" w:hanging="180"/>
        </w:pPr>
      </w:lvl>
    </w:lvlOverride>
    <w:lvlOverride w:ilvl="5">
      <w:startOverride w:val="1"/>
      <w:lvl w:ilvl="5" w:tplc="8236C5E8">
        <w:start w:val="1"/>
        <w:numFmt w:val="decimal"/>
        <w:lvlText w:val="%6."/>
        <w:lvlJc w:val="right"/>
        <w:pPr>
          <w:ind w:left="3000" w:hanging="180"/>
        </w:pPr>
      </w:lvl>
    </w:lvlOverride>
    <w:lvlOverride w:ilvl="6">
      <w:startOverride w:val="1"/>
      <w:lvl w:ilvl="6" w:tplc="0A305362">
        <w:start w:val="1"/>
        <w:numFmt w:val="decimal"/>
        <w:lvlText w:val="%7."/>
        <w:lvlJc w:val="right"/>
        <w:pPr>
          <w:ind w:left="3500" w:hanging="180"/>
        </w:pPr>
      </w:lvl>
    </w:lvlOverride>
    <w:lvlOverride w:ilvl="7">
      <w:startOverride w:val="1"/>
      <w:lvl w:ilvl="7" w:tplc="38904098">
        <w:start w:val="1"/>
        <w:numFmt w:val="decimal"/>
        <w:lvlText w:val="%8."/>
        <w:lvlJc w:val="right"/>
        <w:pPr>
          <w:ind w:left="4000" w:hanging="180"/>
        </w:pPr>
      </w:lvl>
    </w:lvlOverride>
    <w:lvlOverride w:ilvl="8">
      <w:startOverride w:val="1"/>
      <w:lvl w:ilvl="8" w:tplc="9916493C">
        <w:start w:val="1"/>
        <w:numFmt w:val="decimal"/>
        <w:lvlText w:val="%9."/>
        <w:lvlJc w:val="right"/>
        <w:pPr>
          <w:ind w:left="4500" w:hanging="180"/>
        </w:pPr>
      </w:lvl>
    </w:lvlOverride>
  </w:num>
  <w:num w:numId="54" w16cid:durableId="1353415562">
    <w:abstractNumId w:val="74"/>
    <w:lvlOverride w:ilvl="0">
      <w:startOverride w:val="1"/>
      <w:lvl w:ilvl="0" w:tplc="A964FEF8">
        <w:start w:val="1"/>
        <w:numFmt w:val="bullet"/>
        <w:pStyle w:val="NumberParagraphAlpha"/>
        <w:lvlText w:val=""/>
        <w:lvlJc w:val="right"/>
        <w:pPr>
          <w:ind w:left="500" w:hanging="180"/>
        </w:pPr>
        <w:rPr>
          <w:rFonts w:ascii="Symbol" w:hAnsi="Symbol" w:hint="default"/>
        </w:rPr>
      </w:lvl>
    </w:lvlOverride>
    <w:lvlOverride w:ilvl="1">
      <w:startOverride w:val="1"/>
      <w:lvl w:ilvl="1" w:tplc="F372DFEC">
        <w:start w:val="1"/>
        <w:numFmt w:val="decimal"/>
        <w:lvlText w:val="%2."/>
        <w:lvlJc w:val="right"/>
        <w:pPr>
          <w:ind w:left="1000" w:hanging="180"/>
        </w:pPr>
      </w:lvl>
    </w:lvlOverride>
    <w:lvlOverride w:ilvl="2">
      <w:startOverride w:val="1"/>
      <w:lvl w:ilvl="2" w:tplc="11F401B4">
        <w:start w:val="1"/>
        <w:numFmt w:val="decimal"/>
        <w:lvlText w:val="%3."/>
        <w:lvlJc w:val="right"/>
        <w:pPr>
          <w:ind w:left="1500" w:hanging="180"/>
        </w:pPr>
      </w:lvl>
    </w:lvlOverride>
    <w:lvlOverride w:ilvl="3">
      <w:startOverride w:val="1"/>
      <w:lvl w:ilvl="3" w:tplc="A67C733E">
        <w:start w:val="1"/>
        <w:numFmt w:val="decimal"/>
        <w:lvlText w:val="%4."/>
        <w:lvlJc w:val="right"/>
        <w:pPr>
          <w:ind w:left="2000" w:hanging="180"/>
        </w:pPr>
      </w:lvl>
    </w:lvlOverride>
    <w:lvlOverride w:ilvl="4">
      <w:startOverride w:val="1"/>
      <w:lvl w:ilvl="4" w:tplc="AD3EC860">
        <w:start w:val="1"/>
        <w:numFmt w:val="decimal"/>
        <w:lvlText w:val="%5."/>
        <w:lvlJc w:val="right"/>
        <w:pPr>
          <w:ind w:left="2500" w:hanging="180"/>
        </w:pPr>
      </w:lvl>
    </w:lvlOverride>
    <w:lvlOverride w:ilvl="5">
      <w:startOverride w:val="1"/>
      <w:lvl w:ilvl="5" w:tplc="8236C5E8">
        <w:start w:val="1"/>
        <w:numFmt w:val="decimal"/>
        <w:lvlText w:val="%6."/>
        <w:lvlJc w:val="right"/>
        <w:pPr>
          <w:ind w:left="3000" w:hanging="180"/>
        </w:pPr>
      </w:lvl>
    </w:lvlOverride>
    <w:lvlOverride w:ilvl="6">
      <w:startOverride w:val="1"/>
      <w:lvl w:ilvl="6" w:tplc="0A305362">
        <w:start w:val="1"/>
        <w:numFmt w:val="decimal"/>
        <w:lvlText w:val="%7."/>
        <w:lvlJc w:val="right"/>
        <w:pPr>
          <w:ind w:left="3500" w:hanging="180"/>
        </w:pPr>
      </w:lvl>
    </w:lvlOverride>
    <w:lvlOverride w:ilvl="7">
      <w:startOverride w:val="1"/>
      <w:lvl w:ilvl="7" w:tplc="38904098">
        <w:start w:val="1"/>
        <w:numFmt w:val="decimal"/>
        <w:lvlText w:val="%8."/>
        <w:lvlJc w:val="right"/>
        <w:pPr>
          <w:ind w:left="4000" w:hanging="180"/>
        </w:pPr>
      </w:lvl>
    </w:lvlOverride>
    <w:lvlOverride w:ilvl="8">
      <w:startOverride w:val="1"/>
      <w:lvl w:ilvl="8" w:tplc="9916493C">
        <w:start w:val="1"/>
        <w:numFmt w:val="decimal"/>
        <w:lvlText w:val="%9."/>
        <w:lvlJc w:val="right"/>
        <w:pPr>
          <w:ind w:left="4500" w:hanging="180"/>
        </w:pPr>
      </w:lvl>
    </w:lvlOverride>
  </w:num>
  <w:num w:numId="55" w16cid:durableId="227808651">
    <w:abstractNumId w:val="74"/>
    <w:lvlOverride w:ilvl="0">
      <w:startOverride w:val="1"/>
      <w:lvl w:ilvl="0" w:tplc="A964FEF8">
        <w:start w:val="1"/>
        <w:numFmt w:val="bullet"/>
        <w:pStyle w:val="NumberParagraphAlpha"/>
        <w:lvlText w:val=""/>
        <w:lvlJc w:val="right"/>
        <w:pPr>
          <w:ind w:left="500" w:hanging="180"/>
        </w:pPr>
        <w:rPr>
          <w:rFonts w:ascii="Symbol" w:hAnsi="Symbol" w:hint="default"/>
        </w:rPr>
      </w:lvl>
    </w:lvlOverride>
    <w:lvlOverride w:ilvl="1">
      <w:startOverride w:val="1"/>
      <w:lvl w:ilvl="1" w:tplc="F372DFEC">
        <w:start w:val="1"/>
        <w:numFmt w:val="decimal"/>
        <w:lvlText w:val="%2."/>
        <w:lvlJc w:val="right"/>
        <w:pPr>
          <w:ind w:left="1000" w:hanging="180"/>
        </w:pPr>
      </w:lvl>
    </w:lvlOverride>
    <w:lvlOverride w:ilvl="2">
      <w:startOverride w:val="1"/>
      <w:lvl w:ilvl="2" w:tplc="11F401B4">
        <w:start w:val="1"/>
        <w:numFmt w:val="decimal"/>
        <w:lvlText w:val="%3."/>
        <w:lvlJc w:val="right"/>
        <w:pPr>
          <w:ind w:left="1500" w:hanging="180"/>
        </w:pPr>
      </w:lvl>
    </w:lvlOverride>
    <w:lvlOverride w:ilvl="3">
      <w:startOverride w:val="1"/>
      <w:lvl w:ilvl="3" w:tplc="A67C733E">
        <w:start w:val="1"/>
        <w:numFmt w:val="decimal"/>
        <w:lvlText w:val="%4."/>
        <w:lvlJc w:val="right"/>
        <w:pPr>
          <w:ind w:left="2000" w:hanging="180"/>
        </w:pPr>
      </w:lvl>
    </w:lvlOverride>
    <w:lvlOverride w:ilvl="4">
      <w:startOverride w:val="1"/>
      <w:lvl w:ilvl="4" w:tplc="AD3EC860">
        <w:start w:val="1"/>
        <w:numFmt w:val="decimal"/>
        <w:lvlText w:val="%5."/>
        <w:lvlJc w:val="right"/>
        <w:pPr>
          <w:ind w:left="2500" w:hanging="180"/>
        </w:pPr>
      </w:lvl>
    </w:lvlOverride>
    <w:lvlOverride w:ilvl="5">
      <w:startOverride w:val="1"/>
      <w:lvl w:ilvl="5" w:tplc="8236C5E8">
        <w:start w:val="1"/>
        <w:numFmt w:val="decimal"/>
        <w:lvlText w:val="%6."/>
        <w:lvlJc w:val="right"/>
        <w:pPr>
          <w:ind w:left="3000" w:hanging="180"/>
        </w:pPr>
      </w:lvl>
    </w:lvlOverride>
    <w:lvlOverride w:ilvl="6">
      <w:startOverride w:val="1"/>
      <w:lvl w:ilvl="6" w:tplc="0A305362">
        <w:start w:val="1"/>
        <w:numFmt w:val="decimal"/>
        <w:lvlText w:val="%7."/>
        <w:lvlJc w:val="right"/>
        <w:pPr>
          <w:ind w:left="3500" w:hanging="180"/>
        </w:pPr>
      </w:lvl>
    </w:lvlOverride>
    <w:lvlOverride w:ilvl="7">
      <w:startOverride w:val="1"/>
      <w:lvl w:ilvl="7" w:tplc="38904098">
        <w:start w:val="1"/>
        <w:numFmt w:val="decimal"/>
        <w:lvlText w:val="%8."/>
        <w:lvlJc w:val="right"/>
        <w:pPr>
          <w:ind w:left="4000" w:hanging="180"/>
        </w:pPr>
      </w:lvl>
    </w:lvlOverride>
    <w:lvlOverride w:ilvl="8">
      <w:startOverride w:val="1"/>
      <w:lvl w:ilvl="8" w:tplc="9916493C">
        <w:start w:val="1"/>
        <w:numFmt w:val="decimal"/>
        <w:lvlText w:val="%9."/>
        <w:lvlJc w:val="right"/>
        <w:pPr>
          <w:ind w:left="4500" w:hanging="180"/>
        </w:pPr>
      </w:lvl>
    </w:lvlOverride>
  </w:num>
  <w:num w:numId="56" w16cid:durableId="1981881436">
    <w:abstractNumId w:val="58"/>
    <w:lvlOverride w:ilvl="0">
      <w:startOverride w:val="1"/>
      <w:lvl w:ilvl="0" w:tplc="90127A3E">
        <w:start w:val="1"/>
        <w:numFmt w:val="bullet"/>
        <w:lvlText w:val=""/>
        <w:lvlJc w:val="right"/>
        <w:pPr>
          <w:ind w:left="500" w:hanging="180"/>
        </w:pPr>
        <w:rPr>
          <w:rFonts w:ascii="Symbol" w:hAnsi="Symbol" w:hint="default"/>
        </w:rPr>
      </w:lvl>
    </w:lvlOverride>
    <w:lvlOverride w:ilvl="1">
      <w:startOverride w:val="1"/>
      <w:lvl w:ilvl="1" w:tplc="FADECB50">
        <w:start w:val="1"/>
        <w:numFmt w:val="decimal"/>
        <w:lvlText w:val="%2."/>
        <w:lvlJc w:val="right"/>
        <w:pPr>
          <w:ind w:left="1000" w:hanging="180"/>
        </w:pPr>
      </w:lvl>
    </w:lvlOverride>
    <w:lvlOverride w:ilvl="2">
      <w:startOverride w:val="1"/>
      <w:lvl w:ilvl="2" w:tplc="5EA09D18">
        <w:start w:val="1"/>
        <w:numFmt w:val="decimal"/>
        <w:lvlText w:val="%3."/>
        <w:lvlJc w:val="right"/>
        <w:pPr>
          <w:ind w:left="1500" w:hanging="180"/>
        </w:pPr>
      </w:lvl>
    </w:lvlOverride>
    <w:lvlOverride w:ilvl="3">
      <w:startOverride w:val="1"/>
      <w:lvl w:ilvl="3" w:tplc="26807C94">
        <w:start w:val="1"/>
        <w:numFmt w:val="decimal"/>
        <w:lvlText w:val="%4."/>
        <w:lvlJc w:val="right"/>
        <w:pPr>
          <w:ind w:left="2000" w:hanging="180"/>
        </w:pPr>
      </w:lvl>
    </w:lvlOverride>
    <w:lvlOverride w:ilvl="4">
      <w:startOverride w:val="1"/>
      <w:lvl w:ilvl="4" w:tplc="CBE829FA">
        <w:start w:val="1"/>
        <w:numFmt w:val="decimal"/>
        <w:lvlText w:val="%5."/>
        <w:lvlJc w:val="right"/>
        <w:pPr>
          <w:ind w:left="2500" w:hanging="180"/>
        </w:pPr>
      </w:lvl>
    </w:lvlOverride>
    <w:lvlOverride w:ilvl="5">
      <w:startOverride w:val="1"/>
      <w:lvl w:ilvl="5" w:tplc="C22E1026">
        <w:start w:val="1"/>
        <w:numFmt w:val="decimal"/>
        <w:lvlText w:val="%6."/>
        <w:lvlJc w:val="right"/>
        <w:pPr>
          <w:ind w:left="3000" w:hanging="180"/>
        </w:pPr>
      </w:lvl>
    </w:lvlOverride>
    <w:lvlOverride w:ilvl="6">
      <w:startOverride w:val="1"/>
      <w:lvl w:ilvl="6" w:tplc="E71A5DDA">
        <w:start w:val="1"/>
        <w:numFmt w:val="decimal"/>
        <w:lvlText w:val="%7."/>
        <w:lvlJc w:val="right"/>
        <w:pPr>
          <w:ind w:left="3500" w:hanging="180"/>
        </w:pPr>
      </w:lvl>
    </w:lvlOverride>
    <w:lvlOverride w:ilvl="7">
      <w:startOverride w:val="1"/>
      <w:lvl w:ilvl="7" w:tplc="F030178A">
        <w:start w:val="1"/>
        <w:numFmt w:val="decimal"/>
        <w:lvlText w:val="%8."/>
        <w:lvlJc w:val="right"/>
        <w:pPr>
          <w:ind w:left="4000" w:hanging="180"/>
        </w:pPr>
      </w:lvl>
    </w:lvlOverride>
    <w:lvlOverride w:ilvl="8">
      <w:startOverride w:val="1"/>
      <w:lvl w:ilvl="8" w:tplc="6400E678">
        <w:start w:val="1"/>
        <w:numFmt w:val="decimal"/>
        <w:lvlText w:val="%9."/>
        <w:lvlJc w:val="right"/>
        <w:pPr>
          <w:ind w:left="4500" w:hanging="180"/>
        </w:pPr>
      </w:lvl>
    </w:lvlOverride>
  </w:num>
  <w:num w:numId="57" w16cid:durableId="559246798">
    <w:abstractNumId w:val="79"/>
    <w:lvlOverride w:ilvl="0">
      <w:startOverride w:val="1"/>
      <w:lvl w:ilvl="0" w:tplc="2850CF78">
        <w:start w:val="1"/>
        <w:numFmt w:val="bullet"/>
        <w:lvlText w:val=""/>
        <w:lvlJc w:val="right"/>
        <w:pPr>
          <w:ind w:left="500" w:hanging="180"/>
        </w:pPr>
        <w:rPr>
          <w:rFonts w:ascii="Symbol" w:hAnsi="Symbol" w:hint="default"/>
        </w:rPr>
      </w:lvl>
    </w:lvlOverride>
    <w:lvlOverride w:ilvl="1">
      <w:startOverride w:val="1"/>
      <w:lvl w:ilvl="1" w:tplc="B7CE0380">
        <w:start w:val="1"/>
        <w:numFmt w:val="decimal"/>
        <w:lvlText w:val="%2."/>
        <w:lvlJc w:val="right"/>
        <w:pPr>
          <w:ind w:left="1000" w:hanging="180"/>
        </w:pPr>
      </w:lvl>
    </w:lvlOverride>
    <w:lvlOverride w:ilvl="2">
      <w:startOverride w:val="1"/>
      <w:lvl w:ilvl="2" w:tplc="AB8C9BA4">
        <w:start w:val="1"/>
        <w:numFmt w:val="decimal"/>
        <w:lvlText w:val="%3."/>
        <w:lvlJc w:val="right"/>
        <w:pPr>
          <w:ind w:left="1500" w:hanging="180"/>
        </w:pPr>
      </w:lvl>
    </w:lvlOverride>
    <w:lvlOverride w:ilvl="3">
      <w:startOverride w:val="1"/>
      <w:lvl w:ilvl="3" w:tplc="63A4E142">
        <w:start w:val="1"/>
        <w:numFmt w:val="decimal"/>
        <w:lvlText w:val="%4."/>
        <w:lvlJc w:val="right"/>
        <w:pPr>
          <w:ind w:left="2000" w:hanging="180"/>
        </w:pPr>
      </w:lvl>
    </w:lvlOverride>
    <w:lvlOverride w:ilvl="4">
      <w:startOverride w:val="1"/>
      <w:lvl w:ilvl="4" w:tplc="6374E022">
        <w:start w:val="1"/>
        <w:numFmt w:val="decimal"/>
        <w:lvlText w:val="%5."/>
        <w:lvlJc w:val="right"/>
        <w:pPr>
          <w:ind w:left="2500" w:hanging="180"/>
        </w:pPr>
      </w:lvl>
    </w:lvlOverride>
    <w:lvlOverride w:ilvl="5">
      <w:startOverride w:val="1"/>
      <w:lvl w:ilvl="5" w:tplc="338AC47C">
        <w:start w:val="1"/>
        <w:numFmt w:val="decimal"/>
        <w:lvlText w:val="%6."/>
        <w:lvlJc w:val="right"/>
        <w:pPr>
          <w:ind w:left="3000" w:hanging="180"/>
        </w:pPr>
      </w:lvl>
    </w:lvlOverride>
    <w:lvlOverride w:ilvl="6">
      <w:startOverride w:val="1"/>
      <w:lvl w:ilvl="6" w:tplc="6A96533C">
        <w:start w:val="1"/>
        <w:numFmt w:val="decimal"/>
        <w:lvlText w:val="%7."/>
        <w:lvlJc w:val="right"/>
        <w:pPr>
          <w:ind w:left="3500" w:hanging="180"/>
        </w:pPr>
      </w:lvl>
    </w:lvlOverride>
    <w:lvlOverride w:ilvl="7">
      <w:startOverride w:val="1"/>
      <w:lvl w:ilvl="7" w:tplc="8A265DA2">
        <w:start w:val="1"/>
        <w:numFmt w:val="decimal"/>
        <w:lvlText w:val="%8."/>
        <w:lvlJc w:val="right"/>
        <w:pPr>
          <w:ind w:left="4000" w:hanging="180"/>
        </w:pPr>
      </w:lvl>
    </w:lvlOverride>
    <w:lvlOverride w:ilvl="8">
      <w:startOverride w:val="1"/>
      <w:lvl w:ilvl="8" w:tplc="A880D850">
        <w:start w:val="1"/>
        <w:numFmt w:val="decimal"/>
        <w:lvlText w:val="%9."/>
        <w:lvlJc w:val="right"/>
        <w:pPr>
          <w:ind w:left="4500" w:hanging="180"/>
        </w:pPr>
      </w:lvl>
    </w:lvlOverride>
  </w:num>
  <w:num w:numId="58" w16cid:durableId="1897008501">
    <w:abstractNumId w:val="46"/>
    <w:lvlOverride w:ilvl="0">
      <w:startOverride w:val="1"/>
      <w:lvl w:ilvl="0" w:tplc="4EB29A34">
        <w:start w:val="1"/>
        <w:numFmt w:val="decimal"/>
        <w:lvlText w:val="%1."/>
        <w:lvlJc w:val="right"/>
        <w:pPr>
          <w:ind w:left="500" w:hanging="180"/>
        </w:pPr>
      </w:lvl>
    </w:lvlOverride>
    <w:lvlOverride w:ilvl="1">
      <w:startOverride w:val="1"/>
      <w:lvl w:ilvl="1" w:tplc="5AACF4EC">
        <w:start w:val="1"/>
        <w:numFmt w:val="decimal"/>
        <w:lvlText w:val="%2."/>
        <w:lvlJc w:val="right"/>
        <w:pPr>
          <w:ind w:left="1000" w:hanging="180"/>
        </w:pPr>
      </w:lvl>
    </w:lvlOverride>
    <w:lvlOverride w:ilvl="2">
      <w:startOverride w:val="1"/>
      <w:lvl w:ilvl="2" w:tplc="958E07B0">
        <w:start w:val="1"/>
        <w:numFmt w:val="decimal"/>
        <w:lvlText w:val="%3."/>
        <w:lvlJc w:val="right"/>
        <w:pPr>
          <w:ind w:left="1500" w:hanging="180"/>
        </w:pPr>
      </w:lvl>
    </w:lvlOverride>
    <w:lvlOverride w:ilvl="3">
      <w:startOverride w:val="1"/>
      <w:lvl w:ilvl="3" w:tplc="6136EDD8">
        <w:start w:val="1"/>
        <w:numFmt w:val="decimal"/>
        <w:lvlText w:val="%4."/>
        <w:lvlJc w:val="right"/>
        <w:pPr>
          <w:ind w:left="2000" w:hanging="180"/>
        </w:pPr>
      </w:lvl>
    </w:lvlOverride>
    <w:lvlOverride w:ilvl="4">
      <w:startOverride w:val="1"/>
      <w:lvl w:ilvl="4" w:tplc="08480676">
        <w:start w:val="1"/>
        <w:numFmt w:val="decimal"/>
        <w:lvlText w:val="%5."/>
        <w:lvlJc w:val="right"/>
        <w:pPr>
          <w:ind w:left="2500" w:hanging="180"/>
        </w:pPr>
      </w:lvl>
    </w:lvlOverride>
    <w:lvlOverride w:ilvl="5">
      <w:startOverride w:val="1"/>
      <w:lvl w:ilvl="5" w:tplc="2834AA88">
        <w:start w:val="1"/>
        <w:numFmt w:val="decimal"/>
        <w:lvlText w:val="%6."/>
        <w:lvlJc w:val="right"/>
        <w:pPr>
          <w:ind w:left="3000" w:hanging="180"/>
        </w:pPr>
      </w:lvl>
    </w:lvlOverride>
    <w:lvlOverride w:ilvl="6">
      <w:startOverride w:val="1"/>
      <w:lvl w:ilvl="6" w:tplc="B7B674B2">
        <w:start w:val="1"/>
        <w:numFmt w:val="decimal"/>
        <w:lvlText w:val="%7."/>
        <w:lvlJc w:val="right"/>
        <w:pPr>
          <w:ind w:left="3500" w:hanging="180"/>
        </w:pPr>
      </w:lvl>
    </w:lvlOverride>
    <w:lvlOverride w:ilvl="7">
      <w:startOverride w:val="1"/>
      <w:lvl w:ilvl="7" w:tplc="3F6ECEC6">
        <w:start w:val="1"/>
        <w:numFmt w:val="decimal"/>
        <w:lvlText w:val="%8."/>
        <w:lvlJc w:val="right"/>
        <w:pPr>
          <w:ind w:left="4000" w:hanging="180"/>
        </w:pPr>
      </w:lvl>
    </w:lvlOverride>
    <w:lvlOverride w:ilvl="8">
      <w:startOverride w:val="1"/>
      <w:lvl w:ilvl="8" w:tplc="2502228C">
        <w:start w:val="1"/>
        <w:numFmt w:val="decimal"/>
        <w:lvlText w:val="%9."/>
        <w:lvlJc w:val="right"/>
        <w:pPr>
          <w:ind w:left="4500" w:hanging="180"/>
        </w:pPr>
      </w:lvl>
    </w:lvlOverride>
  </w:num>
  <w:num w:numId="59" w16cid:durableId="1658724983">
    <w:abstractNumId w:val="81"/>
    <w:lvlOverride w:ilvl="0">
      <w:startOverride w:val="1"/>
      <w:lvl w:ilvl="0" w:tplc="5C8CE5FC">
        <w:start w:val="1"/>
        <w:numFmt w:val="bullet"/>
        <w:lvlText w:val=""/>
        <w:lvlJc w:val="right"/>
        <w:pPr>
          <w:ind w:left="500" w:hanging="180"/>
        </w:pPr>
        <w:rPr>
          <w:rFonts w:ascii="Symbol" w:hAnsi="Symbol" w:hint="default"/>
        </w:rPr>
      </w:lvl>
    </w:lvlOverride>
    <w:lvlOverride w:ilvl="1">
      <w:startOverride w:val="1"/>
      <w:lvl w:ilvl="1" w:tplc="9648CFD4">
        <w:start w:val="1"/>
        <w:numFmt w:val="decimal"/>
        <w:lvlText w:val="%2."/>
        <w:lvlJc w:val="right"/>
        <w:pPr>
          <w:ind w:left="1000" w:hanging="180"/>
        </w:pPr>
      </w:lvl>
    </w:lvlOverride>
    <w:lvlOverride w:ilvl="2">
      <w:startOverride w:val="1"/>
      <w:lvl w:ilvl="2" w:tplc="83AE3278">
        <w:start w:val="1"/>
        <w:numFmt w:val="decimal"/>
        <w:lvlText w:val="%3."/>
        <w:lvlJc w:val="right"/>
        <w:pPr>
          <w:ind w:left="1500" w:hanging="180"/>
        </w:pPr>
      </w:lvl>
    </w:lvlOverride>
    <w:lvlOverride w:ilvl="3">
      <w:startOverride w:val="1"/>
      <w:lvl w:ilvl="3" w:tplc="98381A24">
        <w:start w:val="1"/>
        <w:numFmt w:val="decimal"/>
        <w:lvlText w:val="%4."/>
        <w:lvlJc w:val="right"/>
        <w:pPr>
          <w:ind w:left="2000" w:hanging="180"/>
        </w:pPr>
      </w:lvl>
    </w:lvlOverride>
    <w:lvlOverride w:ilvl="4">
      <w:startOverride w:val="1"/>
      <w:lvl w:ilvl="4" w:tplc="3A624EEC">
        <w:start w:val="1"/>
        <w:numFmt w:val="decimal"/>
        <w:lvlText w:val="%5."/>
        <w:lvlJc w:val="right"/>
        <w:pPr>
          <w:ind w:left="2500" w:hanging="180"/>
        </w:pPr>
      </w:lvl>
    </w:lvlOverride>
    <w:lvlOverride w:ilvl="5">
      <w:startOverride w:val="1"/>
      <w:lvl w:ilvl="5" w:tplc="1D00CE74">
        <w:start w:val="1"/>
        <w:numFmt w:val="decimal"/>
        <w:lvlText w:val="%6."/>
        <w:lvlJc w:val="right"/>
        <w:pPr>
          <w:ind w:left="3000" w:hanging="180"/>
        </w:pPr>
      </w:lvl>
    </w:lvlOverride>
    <w:lvlOverride w:ilvl="6">
      <w:startOverride w:val="1"/>
      <w:lvl w:ilvl="6" w:tplc="C28E7524">
        <w:start w:val="1"/>
        <w:numFmt w:val="decimal"/>
        <w:lvlText w:val="%7."/>
        <w:lvlJc w:val="right"/>
        <w:pPr>
          <w:ind w:left="3500" w:hanging="180"/>
        </w:pPr>
      </w:lvl>
    </w:lvlOverride>
    <w:lvlOverride w:ilvl="7">
      <w:startOverride w:val="1"/>
      <w:lvl w:ilvl="7" w:tplc="66EAAD3C">
        <w:start w:val="1"/>
        <w:numFmt w:val="decimal"/>
        <w:lvlText w:val="%8."/>
        <w:lvlJc w:val="right"/>
        <w:pPr>
          <w:ind w:left="4000" w:hanging="180"/>
        </w:pPr>
      </w:lvl>
    </w:lvlOverride>
    <w:lvlOverride w:ilvl="8">
      <w:startOverride w:val="1"/>
      <w:lvl w:ilvl="8" w:tplc="8A44B42E">
        <w:start w:val="1"/>
        <w:numFmt w:val="decimal"/>
        <w:lvlText w:val="%9."/>
        <w:lvlJc w:val="right"/>
        <w:pPr>
          <w:ind w:left="4500" w:hanging="180"/>
        </w:pPr>
      </w:lvl>
    </w:lvlOverride>
  </w:num>
  <w:num w:numId="60" w16cid:durableId="1452046470">
    <w:abstractNumId w:val="24"/>
    <w:lvlOverride w:ilvl="0">
      <w:startOverride w:val="1"/>
      <w:lvl w:ilvl="0" w:tplc="B4C0E0A8">
        <w:start w:val="1"/>
        <w:numFmt w:val="bullet"/>
        <w:lvlText w:val=""/>
        <w:lvlJc w:val="right"/>
        <w:pPr>
          <w:ind w:left="500" w:hanging="180"/>
        </w:pPr>
        <w:rPr>
          <w:rFonts w:ascii="Symbol" w:hAnsi="Symbol" w:hint="default"/>
        </w:rPr>
      </w:lvl>
    </w:lvlOverride>
    <w:lvlOverride w:ilvl="1">
      <w:startOverride w:val="1"/>
      <w:lvl w:ilvl="1" w:tplc="33F237E4">
        <w:start w:val="1"/>
        <w:numFmt w:val="decimal"/>
        <w:lvlText w:val="%2."/>
        <w:lvlJc w:val="right"/>
        <w:pPr>
          <w:ind w:left="1000" w:hanging="180"/>
        </w:pPr>
      </w:lvl>
    </w:lvlOverride>
    <w:lvlOverride w:ilvl="2">
      <w:startOverride w:val="1"/>
      <w:lvl w:ilvl="2" w:tplc="6F9878EE">
        <w:start w:val="1"/>
        <w:numFmt w:val="decimal"/>
        <w:lvlText w:val="%3."/>
        <w:lvlJc w:val="right"/>
        <w:pPr>
          <w:ind w:left="1500" w:hanging="180"/>
        </w:pPr>
      </w:lvl>
    </w:lvlOverride>
    <w:lvlOverride w:ilvl="3">
      <w:startOverride w:val="1"/>
      <w:lvl w:ilvl="3" w:tplc="B1A46B76">
        <w:start w:val="1"/>
        <w:numFmt w:val="decimal"/>
        <w:lvlText w:val="%4."/>
        <w:lvlJc w:val="right"/>
        <w:pPr>
          <w:ind w:left="2000" w:hanging="180"/>
        </w:pPr>
      </w:lvl>
    </w:lvlOverride>
    <w:lvlOverride w:ilvl="4">
      <w:startOverride w:val="1"/>
      <w:lvl w:ilvl="4" w:tplc="FA588F68">
        <w:start w:val="1"/>
        <w:numFmt w:val="decimal"/>
        <w:lvlText w:val="%5."/>
        <w:lvlJc w:val="right"/>
        <w:pPr>
          <w:ind w:left="2500" w:hanging="180"/>
        </w:pPr>
      </w:lvl>
    </w:lvlOverride>
    <w:lvlOverride w:ilvl="5">
      <w:startOverride w:val="1"/>
      <w:lvl w:ilvl="5" w:tplc="EC94A104">
        <w:start w:val="1"/>
        <w:numFmt w:val="decimal"/>
        <w:lvlText w:val="%6."/>
        <w:lvlJc w:val="right"/>
        <w:pPr>
          <w:ind w:left="3000" w:hanging="180"/>
        </w:pPr>
      </w:lvl>
    </w:lvlOverride>
    <w:lvlOverride w:ilvl="6">
      <w:startOverride w:val="1"/>
      <w:lvl w:ilvl="6" w:tplc="8E9A1F44">
        <w:start w:val="1"/>
        <w:numFmt w:val="decimal"/>
        <w:lvlText w:val="%7."/>
        <w:lvlJc w:val="right"/>
        <w:pPr>
          <w:ind w:left="3500" w:hanging="180"/>
        </w:pPr>
      </w:lvl>
    </w:lvlOverride>
    <w:lvlOverride w:ilvl="7">
      <w:startOverride w:val="1"/>
      <w:lvl w:ilvl="7" w:tplc="D9D8D532">
        <w:start w:val="1"/>
        <w:numFmt w:val="decimal"/>
        <w:lvlText w:val="%8."/>
        <w:lvlJc w:val="right"/>
        <w:pPr>
          <w:ind w:left="4000" w:hanging="180"/>
        </w:pPr>
      </w:lvl>
    </w:lvlOverride>
    <w:lvlOverride w:ilvl="8">
      <w:startOverride w:val="1"/>
      <w:lvl w:ilvl="8" w:tplc="9F147148">
        <w:start w:val="1"/>
        <w:numFmt w:val="decimal"/>
        <w:lvlText w:val="%9."/>
        <w:lvlJc w:val="right"/>
        <w:pPr>
          <w:ind w:left="4500" w:hanging="180"/>
        </w:pPr>
      </w:lvl>
    </w:lvlOverride>
  </w:num>
  <w:num w:numId="61" w16cid:durableId="739907721">
    <w:abstractNumId w:val="24"/>
    <w:lvlOverride w:ilvl="0">
      <w:startOverride w:val="1"/>
      <w:lvl w:ilvl="0" w:tplc="B4C0E0A8">
        <w:start w:val="1"/>
        <w:numFmt w:val="bullet"/>
        <w:lvlText w:val=""/>
        <w:lvlJc w:val="right"/>
        <w:pPr>
          <w:ind w:left="500" w:hanging="180"/>
        </w:pPr>
        <w:rPr>
          <w:rFonts w:ascii="Symbol" w:hAnsi="Symbol" w:hint="default"/>
        </w:rPr>
      </w:lvl>
    </w:lvlOverride>
    <w:lvlOverride w:ilvl="1">
      <w:startOverride w:val="1"/>
      <w:lvl w:ilvl="1" w:tplc="33F237E4">
        <w:start w:val="1"/>
        <w:numFmt w:val="bullet"/>
        <w:lvlText w:val="o"/>
        <w:lvlJc w:val="right"/>
        <w:pPr>
          <w:ind w:left="1000" w:hanging="180"/>
        </w:pPr>
        <w:rPr>
          <w:rFonts w:ascii="Symbol" w:hAnsi="Symbol" w:hint="default"/>
        </w:rPr>
      </w:lvl>
    </w:lvlOverride>
    <w:lvlOverride w:ilvl="2">
      <w:startOverride w:val="1"/>
      <w:lvl w:ilvl="2" w:tplc="6F9878EE">
        <w:start w:val="1"/>
        <w:numFmt w:val="decimal"/>
        <w:lvlText w:val="%3."/>
        <w:lvlJc w:val="right"/>
        <w:pPr>
          <w:ind w:left="1500" w:hanging="180"/>
        </w:pPr>
      </w:lvl>
    </w:lvlOverride>
    <w:lvlOverride w:ilvl="3">
      <w:startOverride w:val="1"/>
      <w:lvl w:ilvl="3" w:tplc="B1A46B76">
        <w:start w:val="1"/>
        <w:numFmt w:val="decimal"/>
        <w:lvlText w:val="%4."/>
        <w:lvlJc w:val="right"/>
        <w:pPr>
          <w:ind w:left="2000" w:hanging="180"/>
        </w:pPr>
      </w:lvl>
    </w:lvlOverride>
    <w:lvlOverride w:ilvl="4">
      <w:startOverride w:val="1"/>
      <w:lvl w:ilvl="4" w:tplc="FA588F68">
        <w:start w:val="1"/>
        <w:numFmt w:val="decimal"/>
        <w:lvlText w:val="%5."/>
        <w:lvlJc w:val="right"/>
        <w:pPr>
          <w:ind w:left="2500" w:hanging="180"/>
        </w:pPr>
      </w:lvl>
    </w:lvlOverride>
    <w:lvlOverride w:ilvl="5">
      <w:startOverride w:val="1"/>
      <w:lvl w:ilvl="5" w:tplc="EC94A104">
        <w:start w:val="1"/>
        <w:numFmt w:val="decimal"/>
        <w:lvlText w:val="%6."/>
        <w:lvlJc w:val="right"/>
        <w:pPr>
          <w:ind w:left="3000" w:hanging="180"/>
        </w:pPr>
      </w:lvl>
    </w:lvlOverride>
    <w:lvlOverride w:ilvl="6">
      <w:startOverride w:val="1"/>
      <w:lvl w:ilvl="6" w:tplc="8E9A1F44">
        <w:start w:val="1"/>
        <w:numFmt w:val="decimal"/>
        <w:lvlText w:val="%7."/>
        <w:lvlJc w:val="right"/>
        <w:pPr>
          <w:ind w:left="3500" w:hanging="180"/>
        </w:pPr>
      </w:lvl>
    </w:lvlOverride>
    <w:lvlOverride w:ilvl="7">
      <w:startOverride w:val="1"/>
      <w:lvl w:ilvl="7" w:tplc="D9D8D532">
        <w:start w:val="1"/>
        <w:numFmt w:val="decimal"/>
        <w:lvlText w:val="%8."/>
        <w:lvlJc w:val="right"/>
        <w:pPr>
          <w:ind w:left="4000" w:hanging="180"/>
        </w:pPr>
      </w:lvl>
    </w:lvlOverride>
    <w:lvlOverride w:ilvl="8">
      <w:startOverride w:val="1"/>
      <w:lvl w:ilvl="8" w:tplc="9F147148">
        <w:start w:val="1"/>
        <w:numFmt w:val="decimal"/>
        <w:lvlText w:val="%9."/>
        <w:lvlJc w:val="right"/>
        <w:pPr>
          <w:ind w:left="4500" w:hanging="180"/>
        </w:pPr>
      </w:lvl>
    </w:lvlOverride>
  </w:num>
  <w:num w:numId="62" w16cid:durableId="964847314">
    <w:abstractNumId w:val="40"/>
    <w:lvlOverride w:ilvl="0">
      <w:startOverride w:val="1"/>
      <w:lvl w:ilvl="0" w:tplc="457AE830">
        <w:start w:val="1"/>
        <w:numFmt w:val="bullet"/>
        <w:lvlText w:val=""/>
        <w:lvlJc w:val="right"/>
        <w:pPr>
          <w:ind w:left="500" w:hanging="180"/>
        </w:pPr>
        <w:rPr>
          <w:rFonts w:ascii="Symbol" w:hAnsi="Symbol" w:hint="default"/>
        </w:rPr>
      </w:lvl>
    </w:lvlOverride>
    <w:lvlOverride w:ilvl="1">
      <w:startOverride w:val="1"/>
      <w:lvl w:ilvl="1" w:tplc="F5AC72AE">
        <w:start w:val="1"/>
        <w:numFmt w:val="decimal"/>
        <w:lvlText w:val="%2."/>
        <w:lvlJc w:val="right"/>
        <w:pPr>
          <w:ind w:left="1000" w:hanging="180"/>
        </w:pPr>
      </w:lvl>
    </w:lvlOverride>
    <w:lvlOverride w:ilvl="2">
      <w:startOverride w:val="1"/>
      <w:lvl w:ilvl="2" w:tplc="E0DCF72C">
        <w:start w:val="1"/>
        <w:numFmt w:val="decimal"/>
        <w:lvlText w:val="%3."/>
        <w:lvlJc w:val="right"/>
        <w:pPr>
          <w:ind w:left="1500" w:hanging="180"/>
        </w:pPr>
      </w:lvl>
    </w:lvlOverride>
    <w:lvlOverride w:ilvl="3">
      <w:startOverride w:val="1"/>
      <w:lvl w:ilvl="3" w:tplc="E4BCA9E8">
        <w:start w:val="1"/>
        <w:numFmt w:val="decimal"/>
        <w:lvlText w:val="%4."/>
        <w:lvlJc w:val="right"/>
        <w:pPr>
          <w:ind w:left="2000" w:hanging="180"/>
        </w:pPr>
      </w:lvl>
    </w:lvlOverride>
    <w:lvlOverride w:ilvl="4">
      <w:startOverride w:val="1"/>
      <w:lvl w:ilvl="4" w:tplc="C7FED7E2">
        <w:start w:val="1"/>
        <w:numFmt w:val="decimal"/>
        <w:lvlText w:val="%5."/>
        <w:lvlJc w:val="right"/>
        <w:pPr>
          <w:ind w:left="2500" w:hanging="180"/>
        </w:pPr>
      </w:lvl>
    </w:lvlOverride>
    <w:lvlOverride w:ilvl="5">
      <w:startOverride w:val="1"/>
      <w:lvl w:ilvl="5" w:tplc="780A7372">
        <w:start w:val="1"/>
        <w:numFmt w:val="decimal"/>
        <w:lvlText w:val="%6."/>
        <w:lvlJc w:val="right"/>
        <w:pPr>
          <w:ind w:left="3000" w:hanging="180"/>
        </w:pPr>
      </w:lvl>
    </w:lvlOverride>
    <w:lvlOverride w:ilvl="6">
      <w:startOverride w:val="1"/>
      <w:lvl w:ilvl="6" w:tplc="63DEA3DE">
        <w:start w:val="1"/>
        <w:numFmt w:val="decimal"/>
        <w:lvlText w:val="%7."/>
        <w:lvlJc w:val="right"/>
        <w:pPr>
          <w:ind w:left="3500" w:hanging="180"/>
        </w:pPr>
      </w:lvl>
    </w:lvlOverride>
    <w:lvlOverride w:ilvl="7">
      <w:startOverride w:val="1"/>
      <w:lvl w:ilvl="7" w:tplc="2A487378">
        <w:start w:val="1"/>
        <w:numFmt w:val="decimal"/>
        <w:lvlText w:val="%8."/>
        <w:lvlJc w:val="right"/>
        <w:pPr>
          <w:ind w:left="4000" w:hanging="180"/>
        </w:pPr>
      </w:lvl>
    </w:lvlOverride>
    <w:lvlOverride w:ilvl="8">
      <w:startOverride w:val="1"/>
      <w:lvl w:ilvl="8" w:tplc="1D244A6C">
        <w:start w:val="1"/>
        <w:numFmt w:val="decimal"/>
        <w:lvlText w:val="%9."/>
        <w:lvlJc w:val="right"/>
        <w:pPr>
          <w:ind w:left="4500" w:hanging="180"/>
        </w:pPr>
      </w:lvl>
    </w:lvlOverride>
  </w:num>
  <w:num w:numId="63" w16cid:durableId="1111365546">
    <w:abstractNumId w:val="36"/>
    <w:lvlOverride w:ilvl="0">
      <w:startOverride w:val="1"/>
      <w:lvl w:ilvl="0" w:tplc="14CAFC50">
        <w:start w:val="1"/>
        <w:numFmt w:val="bullet"/>
        <w:lvlText w:val=""/>
        <w:lvlJc w:val="right"/>
        <w:pPr>
          <w:ind w:left="500" w:hanging="180"/>
        </w:pPr>
        <w:rPr>
          <w:rFonts w:ascii="Symbol" w:hAnsi="Symbol" w:hint="default"/>
        </w:rPr>
      </w:lvl>
    </w:lvlOverride>
    <w:lvlOverride w:ilvl="1">
      <w:startOverride w:val="1"/>
      <w:lvl w:ilvl="1" w:tplc="3FFAE580">
        <w:start w:val="1"/>
        <w:numFmt w:val="decimal"/>
        <w:lvlText w:val="%2."/>
        <w:lvlJc w:val="right"/>
        <w:pPr>
          <w:ind w:left="1000" w:hanging="180"/>
        </w:pPr>
      </w:lvl>
    </w:lvlOverride>
    <w:lvlOverride w:ilvl="2">
      <w:startOverride w:val="1"/>
      <w:lvl w:ilvl="2" w:tplc="EA2C4F40">
        <w:start w:val="1"/>
        <w:numFmt w:val="decimal"/>
        <w:lvlText w:val="%3."/>
        <w:lvlJc w:val="right"/>
        <w:pPr>
          <w:ind w:left="1500" w:hanging="180"/>
        </w:pPr>
      </w:lvl>
    </w:lvlOverride>
    <w:lvlOverride w:ilvl="3">
      <w:startOverride w:val="1"/>
      <w:lvl w:ilvl="3" w:tplc="CB6A1C90">
        <w:start w:val="1"/>
        <w:numFmt w:val="decimal"/>
        <w:lvlText w:val="%4."/>
        <w:lvlJc w:val="right"/>
        <w:pPr>
          <w:ind w:left="2000" w:hanging="180"/>
        </w:pPr>
      </w:lvl>
    </w:lvlOverride>
    <w:lvlOverride w:ilvl="4">
      <w:startOverride w:val="1"/>
      <w:lvl w:ilvl="4" w:tplc="05A86E74">
        <w:start w:val="1"/>
        <w:numFmt w:val="decimal"/>
        <w:lvlText w:val="%5."/>
        <w:lvlJc w:val="right"/>
        <w:pPr>
          <w:ind w:left="2500" w:hanging="180"/>
        </w:pPr>
      </w:lvl>
    </w:lvlOverride>
    <w:lvlOverride w:ilvl="5">
      <w:startOverride w:val="1"/>
      <w:lvl w:ilvl="5" w:tplc="E53CAFC2">
        <w:start w:val="1"/>
        <w:numFmt w:val="decimal"/>
        <w:lvlText w:val="%6."/>
        <w:lvlJc w:val="right"/>
        <w:pPr>
          <w:ind w:left="3000" w:hanging="180"/>
        </w:pPr>
      </w:lvl>
    </w:lvlOverride>
    <w:lvlOverride w:ilvl="6">
      <w:startOverride w:val="1"/>
      <w:lvl w:ilvl="6" w:tplc="2CF6394C">
        <w:start w:val="1"/>
        <w:numFmt w:val="decimal"/>
        <w:lvlText w:val="%7."/>
        <w:lvlJc w:val="right"/>
        <w:pPr>
          <w:ind w:left="3500" w:hanging="180"/>
        </w:pPr>
      </w:lvl>
    </w:lvlOverride>
    <w:lvlOverride w:ilvl="7">
      <w:startOverride w:val="1"/>
      <w:lvl w:ilvl="7" w:tplc="869C7E6A">
        <w:start w:val="1"/>
        <w:numFmt w:val="decimal"/>
        <w:lvlText w:val="%8."/>
        <w:lvlJc w:val="right"/>
        <w:pPr>
          <w:ind w:left="4000" w:hanging="180"/>
        </w:pPr>
      </w:lvl>
    </w:lvlOverride>
    <w:lvlOverride w:ilvl="8">
      <w:startOverride w:val="1"/>
      <w:lvl w:ilvl="8" w:tplc="43D83D6E">
        <w:start w:val="1"/>
        <w:numFmt w:val="decimal"/>
        <w:lvlText w:val="%9."/>
        <w:lvlJc w:val="right"/>
        <w:pPr>
          <w:ind w:left="4500" w:hanging="180"/>
        </w:pPr>
      </w:lvl>
    </w:lvlOverride>
  </w:num>
  <w:num w:numId="64" w16cid:durableId="1901359811">
    <w:abstractNumId w:val="36"/>
    <w:lvlOverride w:ilvl="0">
      <w:startOverride w:val="1"/>
      <w:lvl w:ilvl="0" w:tplc="14CAFC50">
        <w:start w:val="1"/>
        <w:numFmt w:val="bullet"/>
        <w:lvlText w:val=""/>
        <w:lvlJc w:val="right"/>
        <w:pPr>
          <w:ind w:left="500" w:hanging="180"/>
        </w:pPr>
        <w:rPr>
          <w:rFonts w:ascii="Symbol" w:hAnsi="Symbol" w:hint="default"/>
        </w:rPr>
      </w:lvl>
    </w:lvlOverride>
    <w:lvlOverride w:ilvl="1">
      <w:startOverride w:val="1"/>
      <w:lvl w:ilvl="1" w:tplc="3FFAE580">
        <w:start w:val="1"/>
        <w:numFmt w:val="decimal"/>
        <w:lvlText w:val="%2."/>
        <w:lvlJc w:val="right"/>
        <w:pPr>
          <w:ind w:left="1000" w:hanging="180"/>
        </w:pPr>
      </w:lvl>
    </w:lvlOverride>
    <w:lvlOverride w:ilvl="2">
      <w:startOverride w:val="1"/>
      <w:lvl w:ilvl="2" w:tplc="EA2C4F40">
        <w:start w:val="1"/>
        <w:numFmt w:val="decimal"/>
        <w:lvlText w:val="%3."/>
        <w:lvlJc w:val="right"/>
        <w:pPr>
          <w:ind w:left="1500" w:hanging="180"/>
        </w:pPr>
      </w:lvl>
    </w:lvlOverride>
    <w:lvlOverride w:ilvl="3">
      <w:startOverride w:val="1"/>
      <w:lvl w:ilvl="3" w:tplc="CB6A1C90">
        <w:start w:val="1"/>
        <w:numFmt w:val="decimal"/>
        <w:lvlText w:val="%4."/>
        <w:lvlJc w:val="right"/>
        <w:pPr>
          <w:ind w:left="2000" w:hanging="180"/>
        </w:pPr>
      </w:lvl>
    </w:lvlOverride>
    <w:lvlOverride w:ilvl="4">
      <w:startOverride w:val="1"/>
      <w:lvl w:ilvl="4" w:tplc="05A86E74">
        <w:start w:val="1"/>
        <w:numFmt w:val="decimal"/>
        <w:lvlText w:val="%5."/>
        <w:lvlJc w:val="right"/>
        <w:pPr>
          <w:ind w:left="2500" w:hanging="180"/>
        </w:pPr>
      </w:lvl>
    </w:lvlOverride>
    <w:lvlOverride w:ilvl="5">
      <w:startOverride w:val="1"/>
      <w:lvl w:ilvl="5" w:tplc="E53CAFC2">
        <w:start w:val="1"/>
        <w:numFmt w:val="decimal"/>
        <w:lvlText w:val="%6."/>
        <w:lvlJc w:val="right"/>
        <w:pPr>
          <w:ind w:left="3000" w:hanging="180"/>
        </w:pPr>
      </w:lvl>
    </w:lvlOverride>
    <w:lvlOverride w:ilvl="6">
      <w:startOverride w:val="1"/>
      <w:lvl w:ilvl="6" w:tplc="2CF6394C">
        <w:start w:val="1"/>
        <w:numFmt w:val="decimal"/>
        <w:lvlText w:val="%7."/>
        <w:lvlJc w:val="right"/>
        <w:pPr>
          <w:ind w:left="3500" w:hanging="180"/>
        </w:pPr>
      </w:lvl>
    </w:lvlOverride>
    <w:lvlOverride w:ilvl="7">
      <w:startOverride w:val="1"/>
      <w:lvl w:ilvl="7" w:tplc="869C7E6A">
        <w:start w:val="1"/>
        <w:numFmt w:val="decimal"/>
        <w:lvlText w:val="%8."/>
        <w:lvlJc w:val="right"/>
        <w:pPr>
          <w:ind w:left="4000" w:hanging="180"/>
        </w:pPr>
      </w:lvl>
    </w:lvlOverride>
    <w:lvlOverride w:ilvl="8">
      <w:startOverride w:val="1"/>
      <w:lvl w:ilvl="8" w:tplc="43D83D6E">
        <w:start w:val="1"/>
        <w:numFmt w:val="decimal"/>
        <w:lvlText w:val="%9."/>
        <w:lvlJc w:val="right"/>
        <w:pPr>
          <w:ind w:left="4500" w:hanging="180"/>
        </w:pPr>
      </w:lvl>
    </w:lvlOverride>
  </w:num>
  <w:num w:numId="65" w16cid:durableId="1983268781">
    <w:abstractNumId w:val="74"/>
    <w:lvlOverride w:ilvl="0">
      <w:startOverride w:val="1"/>
      <w:lvl w:ilvl="0" w:tplc="A964FEF8">
        <w:start w:val="1"/>
        <w:numFmt w:val="bullet"/>
        <w:pStyle w:val="NumberParagraphAlpha"/>
        <w:lvlText w:val=""/>
        <w:lvlJc w:val="right"/>
        <w:pPr>
          <w:ind w:left="500" w:hanging="180"/>
        </w:pPr>
        <w:rPr>
          <w:rFonts w:ascii="Symbol" w:hAnsi="Symbol" w:hint="default"/>
        </w:rPr>
      </w:lvl>
    </w:lvlOverride>
    <w:lvlOverride w:ilvl="1">
      <w:startOverride w:val="1"/>
      <w:lvl w:ilvl="1" w:tplc="F372DFEC">
        <w:start w:val="1"/>
        <w:numFmt w:val="decimal"/>
        <w:lvlText w:val="%2."/>
        <w:lvlJc w:val="right"/>
        <w:pPr>
          <w:ind w:left="1000" w:hanging="180"/>
        </w:pPr>
      </w:lvl>
    </w:lvlOverride>
    <w:lvlOverride w:ilvl="2">
      <w:startOverride w:val="1"/>
      <w:lvl w:ilvl="2" w:tplc="11F401B4">
        <w:start w:val="1"/>
        <w:numFmt w:val="decimal"/>
        <w:lvlText w:val="%3."/>
        <w:lvlJc w:val="right"/>
        <w:pPr>
          <w:ind w:left="1500" w:hanging="180"/>
        </w:pPr>
      </w:lvl>
    </w:lvlOverride>
    <w:lvlOverride w:ilvl="3">
      <w:startOverride w:val="1"/>
      <w:lvl w:ilvl="3" w:tplc="A67C733E">
        <w:start w:val="1"/>
        <w:numFmt w:val="decimal"/>
        <w:lvlText w:val="%4."/>
        <w:lvlJc w:val="right"/>
        <w:pPr>
          <w:ind w:left="2000" w:hanging="180"/>
        </w:pPr>
      </w:lvl>
    </w:lvlOverride>
    <w:lvlOverride w:ilvl="4">
      <w:startOverride w:val="1"/>
      <w:lvl w:ilvl="4" w:tplc="AD3EC860">
        <w:start w:val="1"/>
        <w:numFmt w:val="decimal"/>
        <w:lvlText w:val="%5."/>
        <w:lvlJc w:val="right"/>
        <w:pPr>
          <w:ind w:left="2500" w:hanging="180"/>
        </w:pPr>
      </w:lvl>
    </w:lvlOverride>
    <w:lvlOverride w:ilvl="5">
      <w:startOverride w:val="1"/>
      <w:lvl w:ilvl="5" w:tplc="8236C5E8">
        <w:start w:val="1"/>
        <w:numFmt w:val="decimal"/>
        <w:lvlText w:val="%6."/>
        <w:lvlJc w:val="right"/>
        <w:pPr>
          <w:ind w:left="3000" w:hanging="180"/>
        </w:pPr>
      </w:lvl>
    </w:lvlOverride>
    <w:lvlOverride w:ilvl="6">
      <w:startOverride w:val="1"/>
      <w:lvl w:ilvl="6" w:tplc="0A305362">
        <w:start w:val="1"/>
        <w:numFmt w:val="decimal"/>
        <w:lvlText w:val="%7."/>
        <w:lvlJc w:val="right"/>
        <w:pPr>
          <w:ind w:left="3500" w:hanging="180"/>
        </w:pPr>
      </w:lvl>
    </w:lvlOverride>
    <w:lvlOverride w:ilvl="7">
      <w:startOverride w:val="1"/>
      <w:lvl w:ilvl="7" w:tplc="38904098">
        <w:start w:val="1"/>
        <w:numFmt w:val="decimal"/>
        <w:lvlText w:val="%8."/>
        <w:lvlJc w:val="right"/>
        <w:pPr>
          <w:ind w:left="4000" w:hanging="180"/>
        </w:pPr>
      </w:lvl>
    </w:lvlOverride>
    <w:lvlOverride w:ilvl="8">
      <w:startOverride w:val="1"/>
      <w:lvl w:ilvl="8" w:tplc="9916493C">
        <w:start w:val="1"/>
        <w:numFmt w:val="decimal"/>
        <w:lvlText w:val="%9."/>
        <w:lvlJc w:val="right"/>
        <w:pPr>
          <w:ind w:left="4500" w:hanging="180"/>
        </w:pPr>
      </w:lvl>
    </w:lvlOverride>
  </w:num>
  <w:num w:numId="66" w16cid:durableId="171458831">
    <w:abstractNumId w:val="85"/>
    <w:lvlOverride w:ilvl="0">
      <w:startOverride w:val="1"/>
      <w:lvl w:ilvl="0" w:tplc="F8B61F0A">
        <w:start w:val="1"/>
        <w:numFmt w:val="bullet"/>
        <w:lvlText w:val=""/>
        <w:lvlJc w:val="right"/>
        <w:pPr>
          <w:ind w:left="500" w:hanging="180"/>
        </w:pPr>
        <w:rPr>
          <w:rFonts w:ascii="Symbol" w:hAnsi="Symbol" w:hint="default"/>
        </w:rPr>
      </w:lvl>
    </w:lvlOverride>
    <w:lvlOverride w:ilvl="1">
      <w:startOverride w:val="1"/>
      <w:lvl w:ilvl="1" w:tplc="39DCFAF4">
        <w:start w:val="1"/>
        <w:numFmt w:val="decimal"/>
        <w:lvlText w:val="%2."/>
        <w:lvlJc w:val="right"/>
        <w:pPr>
          <w:ind w:left="1000" w:hanging="180"/>
        </w:pPr>
      </w:lvl>
    </w:lvlOverride>
    <w:lvlOverride w:ilvl="2">
      <w:startOverride w:val="1"/>
      <w:lvl w:ilvl="2" w:tplc="19701CEE">
        <w:start w:val="1"/>
        <w:numFmt w:val="decimal"/>
        <w:lvlText w:val="%3."/>
        <w:lvlJc w:val="right"/>
        <w:pPr>
          <w:ind w:left="1500" w:hanging="180"/>
        </w:pPr>
      </w:lvl>
    </w:lvlOverride>
    <w:lvlOverride w:ilvl="3">
      <w:startOverride w:val="1"/>
      <w:lvl w:ilvl="3" w:tplc="26641C9C">
        <w:start w:val="1"/>
        <w:numFmt w:val="decimal"/>
        <w:lvlText w:val="%4."/>
        <w:lvlJc w:val="right"/>
        <w:pPr>
          <w:ind w:left="2000" w:hanging="180"/>
        </w:pPr>
      </w:lvl>
    </w:lvlOverride>
    <w:lvlOverride w:ilvl="4">
      <w:startOverride w:val="1"/>
      <w:lvl w:ilvl="4" w:tplc="D32494FE">
        <w:start w:val="1"/>
        <w:numFmt w:val="decimal"/>
        <w:lvlText w:val="%5."/>
        <w:lvlJc w:val="right"/>
        <w:pPr>
          <w:ind w:left="2500" w:hanging="180"/>
        </w:pPr>
      </w:lvl>
    </w:lvlOverride>
    <w:lvlOverride w:ilvl="5">
      <w:startOverride w:val="1"/>
      <w:lvl w:ilvl="5" w:tplc="508C7942">
        <w:start w:val="1"/>
        <w:numFmt w:val="decimal"/>
        <w:lvlText w:val="%6."/>
        <w:lvlJc w:val="right"/>
        <w:pPr>
          <w:ind w:left="3000" w:hanging="180"/>
        </w:pPr>
      </w:lvl>
    </w:lvlOverride>
    <w:lvlOverride w:ilvl="6">
      <w:startOverride w:val="1"/>
      <w:lvl w:ilvl="6" w:tplc="75385844">
        <w:start w:val="1"/>
        <w:numFmt w:val="decimal"/>
        <w:lvlText w:val="%7."/>
        <w:lvlJc w:val="right"/>
        <w:pPr>
          <w:ind w:left="3500" w:hanging="180"/>
        </w:pPr>
      </w:lvl>
    </w:lvlOverride>
    <w:lvlOverride w:ilvl="7">
      <w:startOverride w:val="1"/>
      <w:lvl w:ilvl="7" w:tplc="BB62409E">
        <w:start w:val="1"/>
        <w:numFmt w:val="decimal"/>
        <w:lvlText w:val="%8."/>
        <w:lvlJc w:val="right"/>
        <w:pPr>
          <w:ind w:left="4000" w:hanging="180"/>
        </w:pPr>
      </w:lvl>
    </w:lvlOverride>
    <w:lvlOverride w:ilvl="8">
      <w:startOverride w:val="1"/>
      <w:lvl w:ilvl="8" w:tplc="4B102B6E">
        <w:start w:val="1"/>
        <w:numFmt w:val="decimal"/>
        <w:lvlText w:val="%9."/>
        <w:lvlJc w:val="right"/>
        <w:pPr>
          <w:ind w:left="4500" w:hanging="180"/>
        </w:pPr>
      </w:lvl>
    </w:lvlOverride>
  </w:num>
  <w:num w:numId="67" w16cid:durableId="465700473">
    <w:abstractNumId w:val="67"/>
    <w:lvlOverride w:ilvl="0">
      <w:startOverride w:val="1"/>
      <w:lvl w:ilvl="0" w:tplc="4DDC7CDA">
        <w:start w:val="1"/>
        <w:numFmt w:val="bullet"/>
        <w:lvlText w:val=""/>
        <w:lvlJc w:val="right"/>
        <w:pPr>
          <w:ind w:left="500" w:hanging="180"/>
        </w:pPr>
        <w:rPr>
          <w:rFonts w:ascii="Symbol" w:hAnsi="Symbol" w:hint="default"/>
        </w:rPr>
      </w:lvl>
    </w:lvlOverride>
    <w:lvlOverride w:ilvl="1">
      <w:startOverride w:val="1"/>
      <w:lvl w:ilvl="1" w:tplc="41AAA768">
        <w:start w:val="1"/>
        <w:numFmt w:val="bullet"/>
        <w:lvlText w:val="o"/>
        <w:lvlJc w:val="right"/>
        <w:pPr>
          <w:ind w:left="1000" w:hanging="180"/>
        </w:pPr>
        <w:rPr>
          <w:rFonts w:ascii="Symbol" w:hAnsi="Symbol" w:hint="default"/>
        </w:rPr>
      </w:lvl>
    </w:lvlOverride>
    <w:lvlOverride w:ilvl="2">
      <w:startOverride w:val="1"/>
      <w:lvl w:ilvl="2" w:tplc="E46248B0">
        <w:start w:val="1"/>
        <w:numFmt w:val="decimal"/>
        <w:lvlText w:val="%3."/>
        <w:lvlJc w:val="right"/>
        <w:pPr>
          <w:ind w:left="1500" w:hanging="180"/>
        </w:pPr>
      </w:lvl>
    </w:lvlOverride>
    <w:lvlOverride w:ilvl="3">
      <w:startOverride w:val="1"/>
      <w:lvl w:ilvl="3" w:tplc="E22A058C">
        <w:start w:val="1"/>
        <w:numFmt w:val="decimal"/>
        <w:lvlText w:val="%4."/>
        <w:lvlJc w:val="right"/>
        <w:pPr>
          <w:ind w:left="2000" w:hanging="180"/>
        </w:pPr>
      </w:lvl>
    </w:lvlOverride>
    <w:lvlOverride w:ilvl="4">
      <w:startOverride w:val="1"/>
      <w:lvl w:ilvl="4" w:tplc="2626FE6E">
        <w:start w:val="1"/>
        <w:numFmt w:val="decimal"/>
        <w:lvlText w:val="%5."/>
        <w:lvlJc w:val="right"/>
        <w:pPr>
          <w:ind w:left="2500" w:hanging="180"/>
        </w:pPr>
      </w:lvl>
    </w:lvlOverride>
    <w:lvlOverride w:ilvl="5">
      <w:startOverride w:val="1"/>
      <w:lvl w:ilvl="5" w:tplc="51E65F1A">
        <w:start w:val="1"/>
        <w:numFmt w:val="decimal"/>
        <w:lvlText w:val="%6."/>
        <w:lvlJc w:val="right"/>
        <w:pPr>
          <w:ind w:left="3000" w:hanging="180"/>
        </w:pPr>
      </w:lvl>
    </w:lvlOverride>
    <w:lvlOverride w:ilvl="6">
      <w:startOverride w:val="1"/>
      <w:lvl w:ilvl="6" w:tplc="FCBEB1F2">
        <w:start w:val="1"/>
        <w:numFmt w:val="decimal"/>
        <w:lvlText w:val="%7."/>
        <w:lvlJc w:val="right"/>
        <w:pPr>
          <w:ind w:left="3500" w:hanging="180"/>
        </w:pPr>
      </w:lvl>
    </w:lvlOverride>
    <w:lvlOverride w:ilvl="7">
      <w:startOverride w:val="1"/>
      <w:lvl w:ilvl="7" w:tplc="FFBA4C50">
        <w:start w:val="1"/>
        <w:numFmt w:val="decimal"/>
        <w:lvlText w:val="%8."/>
        <w:lvlJc w:val="right"/>
        <w:pPr>
          <w:ind w:left="4000" w:hanging="180"/>
        </w:pPr>
      </w:lvl>
    </w:lvlOverride>
    <w:lvlOverride w:ilvl="8">
      <w:startOverride w:val="1"/>
      <w:lvl w:ilvl="8" w:tplc="1F124504">
        <w:start w:val="1"/>
        <w:numFmt w:val="decimal"/>
        <w:lvlText w:val="%9."/>
        <w:lvlJc w:val="right"/>
        <w:pPr>
          <w:ind w:left="4500" w:hanging="180"/>
        </w:pPr>
      </w:lvl>
    </w:lvlOverride>
  </w:num>
  <w:num w:numId="68" w16cid:durableId="1214077556">
    <w:abstractNumId w:val="1"/>
    <w:lvlOverride w:ilvl="0">
      <w:startOverride w:val="1"/>
      <w:lvl w:ilvl="0" w:tplc="B6FEA682">
        <w:start w:val="1"/>
        <w:numFmt w:val="bullet"/>
        <w:lvlText w:val=""/>
        <w:lvlJc w:val="right"/>
        <w:pPr>
          <w:ind w:left="500" w:hanging="180"/>
        </w:pPr>
        <w:rPr>
          <w:rFonts w:ascii="Symbol" w:hAnsi="Symbol" w:hint="default"/>
        </w:rPr>
      </w:lvl>
    </w:lvlOverride>
    <w:lvlOverride w:ilvl="1">
      <w:startOverride w:val="1"/>
      <w:lvl w:ilvl="1" w:tplc="4F481438">
        <w:start w:val="1"/>
        <w:numFmt w:val="decimal"/>
        <w:lvlText w:val="%2."/>
        <w:lvlJc w:val="right"/>
        <w:pPr>
          <w:ind w:left="1000" w:hanging="180"/>
        </w:pPr>
      </w:lvl>
    </w:lvlOverride>
    <w:lvlOverride w:ilvl="2">
      <w:startOverride w:val="1"/>
      <w:lvl w:ilvl="2" w:tplc="EF5C5172">
        <w:start w:val="1"/>
        <w:numFmt w:val="decimal"/>
        <w:lvlText w:val="%3."/>
        <w:lvlJc w:val="right"/>
        <w:pPr>
          <w:ind w:left="1500" w:hanging="180"/>
        </w:pPr>
      </w:lvl>
    </w:lvlOverride>
    <w:lvlOverride w:ilvl="3">
      <w:startOverride w:val="1"/>
      <w:lvl w:ilvl="3" w:tplc="D3945662">
        <w:start w:val="1"/>
        <w:numFmt w:val="decimal"/>
        <w:lvlText w:val="%4."/>
        <w:lvlJc w:val="right"/>
        <w:pPr>
          <w:ind w:left="2000" w:hanging="180"/>
        </w:pPr>
      </w:lvl>
    </w:lvlOverride>
    <w:lvlOverride w:ilvl="4">
      <w:startOverride w:val="1"/>
      <w:lvl w:ilvl="4" w:tplc="75802CB8">
        <w:start w:val="1"/>
        <w:numFmt w:val="decimal"/>
        <w:lvlText w:val="%5."/>
        <w:lvlJc w:val="right"/>
        <w:pPr>
          <w:ind w:left="2500" w:hanging="180"/>
        </w:pPr>
      </w:lvl>
    </w:lvlOverride>
    <w:lvlOverride w:ilvl="5">
      <w:startOverride w:val="1"/>
      <w:lvl w:ilvl="5" w:tplc="F25C47F2">
        <w:start w:val="1"/>
        <w:numFmt w:val="decimal"/>
        <w:lvlText w:val="%6."/>
        <w:lvlJc w:val="right"/>
        <w:pPr>
          <w:ind w:left="3000" w:hanging="180"/>
        </w:pPr>
      </w:lvl>
    </w:lvlOverride>
    <w:lvlOverride w:ilvl="6">
      <w:startOverride w:val="1"/>
      <w:lvl w:ilvl="6" w:tplc="80B2B0BE">
        <w:start w:val="1"/>
        <w:numFmt w:val="decimal"/>
        <w:lvlText w:val="%7."/>
        <w:lvlJc w:val="right"/>
        <w:pPr>
          <w:ind w:left="3500" w:hanging="180"/>
        </w:pPr>
      </w:lvl>
    </w:lvlOverride>
    <w:lvlOverride w:ilvl="7">
      <w:startOverride w:val="1"/>
      <w:lvl w:ilvl="7" w:tplc="EA5685B8">
        <w:start w:val="1"/>
        <w:numFmt w:val="decimal"/>
        <w:lvlText w:val="%8."/>
        <w:lvlJc w:val="right"/>
        <w:pPr>
          <w:ind w:left="4000" w:hanging="180"/>
        </w:pPr>
      </w:lvl>
    </w:lvlOverride>
    <w:lvlOverride w:ilvl="8">
      <w:startOverride w:val="1"/>
      <w:lvl w:ilvl="8" w:tplc="58504C5A">
        <w:start w:val="1"/>
        <w:numFmt w:val="decimal"/>
        <w:lvlText w:val="%9."/>
        <w:lvlJc w:val="right"/>
        <w:pPr>
          <w:ind w:left="4500" w:hanging="180"/>
        </w:pPr>
      </w:lvl>
    </w:lvlOverride>
  </w:num>
  <w:num w:numId="69" w16cid:durableId="366684568">
    <w:abstractNumId w:val="21"/>
    <w:lvlOverride w:ilvl="0">
      <w:startOverride w:val="1"/>
      <w:lvl w:ilvl="0" w:tplc="AF42E4EC">
        <w:start w:val="1"/>
        <w:numFmt w:val="bullet"/>
        <w:lvlText w:val=""/>
        <w:lvlJc w:val="right"/>
        <w:pPr>
          <w:ind w:left="500" w:hanging="180"/>
        </w:pPr>
        <w:rPr>
          <w:rFonts w:ascii="Symbol" w:hAnsi="Symbol" w:hint="default"/>
        </w:rPr>
      </w:lvl>
    </w:lvlOverride>
    <w:lvlOverride w:ilvl="1">
      <w:startOverride w:val="1"/>
      <w:lvl w:ilvl="1" w:tplc="D2C0C320">
        <w:start w:val="1"/>
        <w:numFmt w:val="decimal"/>
        <w:lvlText w:val="%2."/>
        <w:lvlJc w:val="right"/>
        <w:pPr>
          <w:ind w:left="1000" w:hanging="180"/>
        </w:pPr>
      </w:lvl>
    </w:lvlOverride>
    <w:lvlOverride w:ilvl="2">
      <w:startOverride w:val="1"/>
      <w:lvl w:ilvl="2" w:tplc="4F90D226">
        <w:start w:val="1"/>
        <w:numFmt w:val="decimal"/>
        <w:lvlText w:val="%3."/>
        <w:lvlJc w:val="right"/>
        <w:pPr>
          <w:ind w:left="1500" w:hanging="180"/>
        </w:pPr>
      </w:lvl>
    </w:lvlOverride>
    <w:lvlOverride w:ilvl="3">
      <w:startOverride w:val="1"/>
      <w:lvl w:ilvl="3" w:tplc="B59EDE64">
        <w:start w:val="1"/>
        <w:numFmt w:val="decimal"/>
        <w:lvlText w:val="%4."/>
        <w:lvlJc w:val="right"/>
        <w:pPr>
          <w:ind w:left="2000" w:hanging="180"/>
        </w:pPr>
      </w:lvl>
    </w:lvlOverride>
    <w:lvlOverride w:ilvl="4">
      <w:startOverride w:val="1"/>
      <w:lvl w:ilvl="4" w:tplc="5582EC60">
        <w:start w:val="1"/>
        <w:numFmt w:val="decimal"/>
        <w:lvlText w:val="%5."/>
        <w:lvlJc w:val="right"/>
        <w:pPr>
          <w:ind w:left="2500" w:hanging="180"/>
        </w:pPr>
      </w:lvl>
    </w:lvlOverride>
    <w:lvlOverride w:ilvl="5">
      <w:startOverride w:val="1"/>
      <w:lvl w:ilvl="5" w:tplc="A3D00D12">
        <w:start w:val="1"/>
        <w:numFmt w:val="decimal"/>
        <w:lvlText w:val="%6."/>
        <w:lvlJc w:val="right"/>
        <w:pPr>
          <w:ind w:left="3000" w:hanging="180"/>
        </w:pPr>
      </w:lvl>
    </w:lvlOverride>
    <w:lvlOverride w:ilvl="6">
      <w:startOverride w:val="1"/>
      <w:lvl w:ilvl="6" w:tplc="A964EC72">
        <w:start w:val="1"/>
        <w:numFmt w:val="decimal"/>
        <w:lvlText w:val="%7."/>
        <w:lvlJc w:val="right"/>
        <w:pPr>
          <w:ind w:left="3500" w:hanging="180"/>
        </w:pPr>
      </w:lvl>
    </w:lvlOverride>
    <w:lvlOverride w:ilvl="7">
      <w:startOverride w:val="1"/>
      <w:lvl w:ilvl="7" w:tplc="5ED0DD6C">
        <w:start w:val="1"/>
        <w:numFmt w:val="decimal"/>
        <w:lvlText w:val="%8."/>
        <w:lvlJc w:val="right"/>
        <w:pPr>
          <w:ind w:left="4000" w:hanging="180"/>
        </w:pPr>
      </w:lvl>
    </w:lvlOverride>
    <w:lvlOverride w:ilvl="8">
      <w:startOverride w:val="1"/>
      <w:lvl w:ilvl="8" w:tplc="376C9C0C">
        <w:start w:val="1"/>
        <w:numFmt w:val="decimal"/>
        <w:lvlText w:val="%9."/>
        <w:lvlJc w:val="right"/>
        <w:pPr>
          <w:ind w:left="4500" w:hanging="180"/>
        </w:pPr>
      </w:lvl>
    </w:lvlOverride>
  </w:num>
  <w:num w:numId="70" w16cid:durableId="1416173174">
    <w:abstractNumId w:val="47"/>
    <w:lvlOverride w:ilvl="0">
      <w:startOverride w:val="1"/>
      <w:lvl w:ilvl="0" w:tplc="E00CD512">
        <w:start w:val="1"/>
        <w:numFmt w:val="bullet"/>
        <w:lvlText w:val=""/>
        <w:lvlJc w:val="right"/>
        <w:pPr>
          <w:ind w:left="500" w:hanging="180"/>
        </w:pPr>
        <w:rPr>
          <w:rFonts w:ascii="Symbol" w:hAnsi="Symbol" w:hint="default"/>
        </w:rPr>
      </w:lvl>
    </w:lvlOverride>
    <w:lvlOverride w:ilvl="1">
      <w:startOverride w:val="1"/>
      <w:lvl w:ilvl="1" w:tplc="95AA0E5C">
        <w:start w:val="1"/>
        <w:numFmt w:val="decimal"/>
        <w:lvlText w:val="%2."/>
        <w:lvlJc w:val="right"/>
        <w:pPr>
          <w:ind w:left="1000" w:hanging="180"/>
        </w:pPr>
      </w:lvl>
    </w:lvlOverride>
    <w:lvlOverride w:ilvl="2">
      <w:startOverride w:val="1"/>
      <w:lvl w:ilvl="2" w:tplc="2DFEBE3A">
        <w:start w:val="1"/>
        <w:numFmt w:val="decimal"/>
        <w:lvlText w:val="%3."/>
        <w:lvlJc w:val="right"/>
        <w:pPr>
          <w:ind w:left="1500" w:hanging="180"/>
        </w:pPr>
      </w:lvl>
    </w:lvlOverride>
    <w:lvlOverride w:ilvl="3">
      <w:startOverride w:val="1"/>
      <w:lvl w:ilvl="3" w:tplc="6806326E">
        <w:start w:val="1"/>
        <w:numFmt w:val="decimal"/>
        <w:lvlText w:val="%4."/>
        <w:lvlJc w:val="right"/>
        <w:pPr>
          <w:ind w:left="2000" w:hanging="180"/>
        </w:pPr>
      </w:lvl>
    </w:lvlOverride>
    <w:lvlOverride w:ilvl="4">
      <w:startOverride w:val="1"/>
      <w:lvl w:ilvl="4" w:tplc="1B9EF99C">
        <w:start w:val="1"/>
        <w:numFmt w:val="decimal"/>
        <w:lvlText w:val="%5."/>
        <w:lvlJc w:val="right"/>
        <w:pPr>
          <w:ind w:left="2500" w:hanging="180"/>
        </w:pPr>
      </w:lvl>
    </w:lvlOverride>
    <w:lvlOverride w:ilvl="5">
      <w:startOverride w:val="1"/>
      <w:lvl w:ilvl="5" w:tplc="5BA8933A">
        <w:start w:val="1"/>
        <w:numFmt w:val="decimal"/>
        <w:lvlText w:val="%6."/>
        <w:lvlJc w:val="right"/>
        <w:pPr>
          <w:ind w:left="3000" w:hanging="180"/>
        </w:pPr>
      </w:lvl>
    </w:lvlOverride>
    <w:lvlOverride w:ilvl="6">
      <w:startOverride w:val="1"/>
      <w:lvl w:ilvl="6" w:tplc="B32AEA26">
        <w:start w:val="1"/>
        <w:numFmt w:val="decimal"/>
        <w:lvlText w:val="%7."/>
        <w:lvlJc w:val="right"/>
        <w:pPr>
          <w:ind w:left="3500" w:hanging="180"/>
        </w:pPr>
      </w:lvl>
    </w:lvlOverride>
    <w:lvlOverride w:ilvl="7">
      <w:startOverride w:val="1"/>
      <w:lvl w:ilvl="7" w:tplc="5134BB24">
        <w:start w:val="1"/>
        <w:numFmt w:val="decimal"/>
        <w:lvlText w:val="%8."/>
        <w:lvlJc w:val="right"/>
        <w:pPr>
          <w:ind w:left="4000" w:hanging="180"/>
        </w:pPr>
      </w:lvl>
    </w:lvlOverride>
    <w:lvlOverride w:ilvl="8">
      <w:startOverride w:val="1"/>
      <w:lvl w:ilvl="8" w:tplc="F50690C6">
        <w:start w:val="1"/>
        <w:numFmt w:val="decimal"/>
        <w:lvlText w:val="%9."/>
        <w:lvlJc w:val="right"/>
        <w:pPr>
          <w:ind w:left="4500" w:hanging="180"/>
        </w:pPr>
      </w:lvl>
    </w:lvlOverride>
  </w:num>
  <w:num w:numId="71" w16cid:durableId="461770885">
    <w:abstractNumId w:val="12"/>
    <w:lvlOverride w:ilvl="0">
      <w:startOverride w:val="1"/>
      <w:lvl w:ilvl="0" w:tplc="4AD67766">
        <w:start w:val="1"/>
        <w:numFmt w:val="bullet"/>
        <w:lvlText w:val=""/>
        <w:lvlJc w:val="right"/>
        <w:pPr>
          <w:ind w:left="500" w:hanging="180"/>
        </w:pPr>
        <w:rPr>
          <w:rFonts w:ascii="Symbol" w:hAnsi="Symbol" w:hint="default"/>
        </w:rPr>
      </w:lvl>
    </w:lvlOverride>
    <w:lvlOverride w:ilvl="1">
      <w:startOverride w:val="1"/>
      <w:lvl w:ilvl="1" w:tplc="2814F1E0">
        <w:start w:val="1"/>
        <w:numFmt w:val="decimal"/>
        <w:lvlText w:val="%2."/>
        <w:lvlJc w:val="right"/>
        <w:pPr>
          <w:ind w:left="1000" w:hanging="180"/>
        </w:pPr>
      </w:lvl>
    </w:lvlOverride>
    <w:lvlOverride w:ilvl="2">
      <w:startOverride w:val="1"/>
      <w:lvl w:ilvl="2" w:tplc="DEC0087A">
        <w:start w:val="1"/>
        <w:numFmt w:val="decimal"/>
        <w:lvlText w:val="%3."/>
        <w:lvlJc w:val="right"/>
        <w:pPr>
          <w:ind w:left="1500" w:hanging="180"/>
        </w:pPr>
      </w:lvl>
    </w:lvlOverride>
    <w:lvlOverride w:ilvl="3">
      <w:startOverride w:val="1"/>
      <w:lvl w:ilvl="3" w:tplc="A2E01A96">
        <w:start w:val="1"/>
        <w:numFmt w:val="decimal"/>
        <w:lvlText w:val="%4."/>
        <w:lvlJc w:val="right"/>
        <w:pPr>
          <w:ind w:left="2000" w:hanging="180"/>
        </w:pPr>
      </w:lvl>
    </w:lvlOverride>
    <w:lvlOverride w:ilvl="4">
      <w:startOverride w:val="1"/>
      <w:lvl w:ilvl="4" w:tplc="536E39B6">
        <w:start w:val="1"/>
        <w:numFmt w:val="decimal"/>
        <w:lvlText w:val="%5."/>
        <w:lvlJc w:val="right"/>
        <w:pPr>
          <w:ind w:left="2500" w:hanging="180"/>
        </w:pPr>
      </w:lvl>
    </w:lvlOverride>
    <w:lvlOverride w:ilvl="5">
      <w:startOverride w:val="1"/>
      <w:lvl w:ilvl="5" w:tplc="56F66C60">
        <w:start w:val="1"/>
        <w:numFmt w:val="decimal"/>
        <w:lvlText w:val="%6."/>
        <w:lvlJc w:val="right"/>
        <w:pPr>
          <w:ind w:left="3000" w:hanging="180"/>
        </w:pPr>
      </w:lvl>
    </w:lvlOverride>
    <w:lvlOverride w:ilvl="6">
      <w:startOverride w:val="1"/>
      <w:lvl w:ilvl="6" w:tplc="0C882628">
        <w:start w:val="1"/>
        <w:numFmt w:val="decimal"/>
        <w:lvlText w:val="%7."/>
        <w:lvlJc w:val="right"/>
        <w:pPr>
          <w:ind w:left="3500" w:hanging="180"/>
        </w:pPr>
      </w:lvl>
    </w:lvlOverride>
    <w:lvlOverride w:ilvl="7">
      <w:startOverride w:val="1"/>
      <w:lvl w:ilvl="7" w:tplc="36167C5C">
        <w:start w:val="1"/>
        <w:numFmt w:val="decimal"/>
        <w:lvlText w:val="%8."/>
        <w:lvlJc w:val="right"/>
        <w:pPr>
          <w:ind w:left="4000" w:hanging="180"/>
        </w:pPr>
      </w:lvl>
    </w:lvlOverride>
    <w:lvlOverride w:ilvl="8">
      <w:startOverride w:val="1"/>
      <w:lvl w:ilvl="8" w:tplc="3C04CCD2">
        <w:start w:val="1"/>
        <w:numFmt w:val="decimal"/>
        <w:lvlText w:val="%9."/>
        <w:lvlJc w:val="right"/>
        <w:pPr>
          <w:ind w:left="4500" w:hanging="180"/>
        </w:pPr>
      </w:lvl>
    </w:lvlOverride>
  </w:num>
  <w:num w:numId="72" w16cid:durableId="1583685031">
    <w:abstractNumId w:val="7"/>
    <w:lvlOverride w:ilvl="0">
      <w:startOverride w:val="1"/>
      <w:lvl w:ilvl="0" w:tplc="DE66827C">
        <w:start w:val="1"/>
        <w:numFmt w:val="bullet"/>
        <w:lvlText w:val=""/>
        <w:lvlJc w:val="right"/>
        <w:pPr>
          <w:ind w:left="500" w:hanging="180"/>
        </w:pPr>
        <w:rPr>
          <w:rFonts w:ascii="Symbol" w:hAnsi="Symbol" w:hint="default"/>
        </w:rPr>
      </w:lvl>
    </w:lvlOverride>
    <w:lvlOverride w:ilvl="1">
      <w:startOverride w:val="1"/>
      <w:lvl w:ilvl="1" w:tplc="415487D8">
        <w:start w:val="1"/>
        <w:numFmt w:val="decimal"/>
        <w:lvlText w:val="%2."/>
        <w:lvlJc w:val="right"/>
        <w:pPr>
          <w:ind w:left="1000" w:hanging="180"/>
        </w:pPr>
      </w:lvl>
    </w:lvlOverride>
    <w:lvlOverride w:ilvl="2">
      <w:startOverride w:val="1"/>
      <w:lvl w:ilvl="2" w:tplc="CCE630A0">
        <w:start w:val="1"/>
        <w:numFmt w:val="decimal"/>
        <w:lvlText w:val="%3."/>
        <w:lvlJc w:val="right"/>
        <w:pPr>
          <w:ind w:left="1500" w:hanging="180"/>
        </w:pPr>
      </w:lvl>
    </w:lvlOverride>
    <w:lvlOverride w:ilvl="3">
      <w:startOverride w:val="1"/>
      <w:lvl w:ilvl="3" w:tplc="DF426614">
        <w:start w:val="1"/>
        <w:numFmt w:val="decimal"/>
        <w:lvlText w:val="%4."/>
        <w:lvlJc w:val="right"/>
        <w:pPr>
          <w:ind w:left="2000" w:hanging="180"/>
        </w:pPr>
      </w:lvl>
    </w:lvlOverride>
    <w:lvlOverride w:ilvl="4">
      <w:startOverride w:val="1"/>
      <w:lvl w:ilvl="4" w:tplc="9ADA2564">
        <w:start w:val="1"/>
        <w:numFmt w:val="decimal"/>
        <w:lvlText w:val="%5."/>
        <w:lvlJc w:val="right"/>
        <w:pPr>
          <w:ind w:left="2500" w:hanging="180"/>
        </w:pPr>
      </w:lvl>
    </w:lvlOverride>
    <w:lvlOverride w:ilvl="5">
      <w:startOverride w:val="1"/>
      <w:lvl w:ilvl="5" w:tplc="F58CAF22">
        <w:start w:val="1"/>
        <w:numFmt w:val="decimal"/>
        <w:lvlText w:val="%6."/>
        <w:lvlJc w:val="right"/>
        <w:pPr>
          <w:ind w:left="3000" w:hanging="180"/>
        </w:pPr>
      </w:lvl>
    </w:lvlOverride>
    <w:lvlOverride w:ilvl="6">
      <w:startOverride w:val="1"/>
      <w:lvl w:ilvl="6" w:tplc="5CFA7D94">
        <w:start w:val="1"/>
        <w:numFmt w:val="decimal"/>
        <w:lvlText w:val="%7."/>
        <w:lvlJc w:val="right"/>
        <w:pPr>
          <w:ind w:left="3500" w:hanging="180"/>
        </w:pPr>
      </w:lvl>
    </w:lvlOverride>
    <w:lvlOverride w:ilvl="7">
      <w:startOverride w:val="1"/>
      <w:lvl w:ilvl="7" w:tplc="240EB3F4">
        <w:start w:val="1"/>
        <w:numFmt w:val="decimal"/>
        <w:lvlText w:val="%8."/>
        <w:lvlJc w:val="right"/>
        <w:pPr>
          <w:ind w:left="4000" w:hanging="180"/>
        </w:pPr>
      </w:lvl>
    </w:lvlOverride>
    <w:lvlOverride w:ilvl="8">
      <w:startOverride w:val="1"/>
      <w:lvl w:ilvl="8" w:tplc="15B89288">
        <w:start w:val="1"/>
        <w:numFmt w:val="decimal"/>
        <w:lvlText w:val="%9."/>
        <w:lvlJc w:val="right"/>
        <w:pPr>
          <w:ind w:left="4500" w:hanging="180"/>
        </w:pPr>
      </w:lvl>
    </w:lvlOverride>
  </w:num>
  <w:num w:numId="73" w16cid:durableId="247810165">
    <w:abstractNumId w:val="15"/>
    <w:lvlOverride w:ilvl="0">
      <w:startOverride w:val="1"/>
      <w:lvl w:ilvl="0" w:tplc="75F0D29C">
        <w:start w:val="1"/>
        <w:numFmt w:val="bullet"/>
        <w:lvlText w:val=""/>
        <w:lvlJc w:val="right"/>
        <w:pPr>
          <w:ind w:left="500" w:hanging="180"/>
        </w:pPr>
        <w:rPr>
          <w:rFonts w:ascii="Symbol" w:hAnsi="Symbol" w:hint="default"/>
        </w:rPr>
      </w:lvl>
    </w:lvlOverride>
    <w:lvlOverride w:ilvl="1">
      <w:startOverride w:val="1"/>
      <w:lvl w:ilvl="1" w:tplc="67F82E7C">
        <w:start w:val="1"/>
        <w:numFmt w:val="decimal"/>
        <w:lvlText w:val="%2."/>
        <w:lvlJc w:val="right"/>
        <w:pPr>
          <w:ind w:left="1000" w:hanging="180"/>
        </w:pPr>
      </w:lvl>
    </w:lvlOverride>
    <w:lvlOverride w:ilvl="2">
      <w:startOverride w:val="1"/>
      <w:lvl w:ilvl="2" w:tplc="D02E33C8">
        <w:start w:val="1"/>
        <w:numFmt w:val="decimal"/>
        <w:lvlText w:val="%3."/>
        <w:lvlJc w:val="right"/>
        <w:pPr>
          <w:ind w:left="1500" w:hanging="180"/>
        </w:pPr>
      </w:lvl>
    </w:lvlOverride>
    <w:lvlOverride w:ilvl="3">
      <w:startOverride w:val="1"/>
      <w:lvl w:ilvl="3" w:tplc="0B24E08A">
        <w:start w:val="1"/>
        <w:numFmt w:val="decimal"/>
        <w:lvlText w:val="%4."/>
        <w:lvlJc w:val="right"/>
        <w:pPr>
          <w:ind w:left="2000" w:hanging="180"/>
        </w:pPr>
      </w:lvl>
    </w:lvlOverride>
    <w:lvlOverride w:ilvl="4">
      <w:startOverride w:val="1"/>
      <w:lvl w:ilvl="4" w:tplc="9AB492F0">
        <w:start w:val="1"/>
        <w:numFmt w:val="decimal"/>
        <w:lvlText w:val="%5."/>
        <w:lvlJc w:val="right"/>
        <w:pPr>
          <w:ind w:left="2500" w:hanging="180"/>
        </w:pPr>
      </w:lvl>
    </w:lvlOverride>
    <w:lvlOverride w:ilvl="5">
      <w:startOverride w:val="1"/>
      <w:lvl w:ilvl="5" w:tplc="839C9E62">
        <w:start w:val="1"/>
        <w:numFmt w:val="decimal"/>
        <w:lvlText w:val="%6."/>
        <w:lvlJc w:val="right"/>
        <w:pPr>
          <w:ind w:left="3000" w:hanging="180"/>
        </w:pPr>
      </w:lvl>
    </w:lvlOverride>
    <w:lvlOverride w:ilvl="6">
      <w:startOverride w:val="1"/>
      <w:lvl w:ilvl="6" w:tplc="A83EFE58">
        <w:start w:val="1"/>
        <w:numFmt w:val="decimal"/>
        <w:lvlText w:val="%7."/>
        <w:lvlJc w:val="right"/>
        <w:pPr>
          <w:ind w:left="3500" w:hanging="180"/>
        </w:pPr>
      </w:lvl>
    </w:lvlOverride>
    <w:lvlOverride w:ilvl="7">
      <w:startOverride w:val="1"/>
      <w:lvl w:ilvl="7" w:tplc="2C94939C">
        <w:start w:val="1"/>
        <w:numFmt w:val="decimal"/>
        <w:lvlText w:val="%8."/>
        <w:lvlJc w:val="right"/>
        <w:pPr>
          <w:ind w:left="4000" w:hanging="180"/>
        </w:pPr>
      </w:lvl>
    </w:lvlOverride>
    <w:lvlOverride w:ilvl="8">
      <w:startOverride w:val="1"/>
      <w:lvl w:ilvl="8" w:tplc="6B3C56AC">
        <w:start w:val="1"/>
        <w:numFmt w:val="decimal"/>
        <w:lvlText w:val="%9."/>
        <w:lvlJc w:val="right"/>
        <w:pPr>
          <w:ind w:left="4500" w:hanging="180"/>
        </w:pPr>
      </w:lvl>
    </w:lvlOverride>
  </w:num>
  <w:num w:numId="74" w16cid:durableId="1199123898">
    <w:abstractNumId w:val="21"/>
    <w:lvlOverride w:ilvl="0">
      <w:startOverride w:val="1"/>
      <w:lvl w:ilvl="0" w:tplc="AF42E4EC">
        <w:start w:val="1"/>
        <w:numFmt w:val="bullet"/>
        <w:lvlText w:val=""/>
        <w:lvlJc w:val="right"/>
        <w:pPr>
          <w:ind w:left="500" w:hanging="180"/>
        </w:pPr>
        <w:rPr>
          <w:rFonts w:ascii="Symbol" w:hAnsi="Symbol" w:hint="default"/>
        </w:rPr>
      </w:lvl>
    </w:lvlOverride>
    <w:lvlOverride w:ilvl="1">
      <w:startOverride w:val="1"/>
      <w:lvl w:ilvl="1" w:tplc="D2C0C320">
        <w:start w:val="1"/>
        <w:numFmt w:val="decimal"/>
        <w:lvlText w:val="%2."/>
        <w:lvlJc w:val="right"/>
        <w:pPr>
          <w:ind w:left="1000" w:hanging="180"/>
        </w:pPr>
      </w:lvl>
    </w:lvlOverride>
    <w:lvlOverride w:ilvl="2">
      <w:startOverride w:val="1"/>
      <w:lvl w:ilvl="2" w:tplc="4F90D226">
        <w:start w:val="1"/>
        <w:numFmt w:val="decimal"/>
        <w:lvlText w:val="%3."/>
        <w:lvlJc w:val="right"/>
        <w:pPr>
          <w:ind w:left="1500" w:hanging="180"/>
        </w:pPr>
      </w:lvl>
    </w:lvlOverride>
    <w:lvlOverride w:ilvl="3">
      <w:startOverride w:val="1"/>
      <w:lvl w:ilvl="3" w:tplc="B59EDE64">
        <w:start w:val="1"/>
        <w:numFmt w:val="decimal"/>
        <w:lvlText w:val="%4."/>
        <w:lvlJc w:val="right"/>
        <w:pPr>
          <w:ind w:left="2000" w:hanging="180"/>
        </w:pPr>
      </w:lvl>
    </w:lvlOverride>
    <w:lvlOverride w:ilvl="4">
      <w:startOverride w:val="1"/>
      <w:lvl w:ilvl="4" w:tplc="5582EC60">
        <w:start w:val="1"/>
        <w:numFmt w:val="decimal"/>
        <w:lvlText w:val="%5."/>
        <w:lvlJc w:val="right"/>
        <w:pPr>
          <w:ind w:left="2500" w:hanging="180"/>
        </w:pPr>
      </w:lvl>
    </w:lvlOverride>
    <w:lvlOverride w:ilvl="5">
      <w:startOverride w:val="1"/>
      <w:lvl w:ilvl="5" w:tplc="A3D00D12">
        <w:start w:val="1"/>
        <w:numFmt w:val="decimal"/>
        <w:lvlText w:val="%6."/>
        <w:lvlJc w:val="right"/>
        <w:pPr>
          <w:ind w:left="3000" w:hanging="180"/>
        </w:pPr>
      </w:lvl>
    </w:lvlOverride>
    <w:lvlOverride w:ilvl="6">
      <w:startOverride w:val="1"/>
      <w:lvl w:ilvl="6" w:tplc="A964EC72">
        <w:start w:val="1"/>
        <w:numFmt w:val="decimal"/>
        <w:lvlText w:val="%7."/>
        <w:lvlJc w:val="right"/>
        <w:pPr>
          <w:ind w:left="3500" w:hanging="180"/>
        </w:pPr>
      </w:lvl>
    </w:lvlOverride>
    <w:lvlOverride w:ilvl="7">
      <w:startOverride w:val="1"/>
      <w:lvl w:ilvl="7" w:tplc="5ED0DD6C">
        <w:start w:val="1"/>
        <w:numFmt w:val="decimal"/>
        <w:lvlText w:val="%8."/>
        <w:lvlJc w:val="right"/>
        <w:pPr>
          <w:ind w:left="4000" w:hanging="180"/>
        </w:pPr>
      </w:lvl>
    </w:lvlOverride>
    <w:lvlOverride w:ilvl="8">
      <w:startOverride w:val="1"/>
      <w:lvl w:ilvl="8" w:tplc="376C9C0C">
        <w:start w:val="1"/>
        <w:numFmt w:val="decimal"/>
        <w:lvlText w:val="%9."/>
        <w:lvlJc w:val="right"/>
        <w:pPr>
          <w:ind w:left="4500" w:hanging="180"/>
        </w:pPr>
      </w:lvl>
    </w:lvlOverride>
  </w:num>
  <w:num w:numId="75" w16cid:durableId="637615283">
    <w:abstractNumId w:val="62"/>
    <w:lvlOverride w:ilvl="0">
      <w:startOverride w:val="1"/>
      <w:lvl w:ilvl="0" w:tplc="D628400C">
        <w:start w:val="1"/>
        <w:numFmt w:val="bullet"/>
        <w:lvlText w:val=""/>
        <w:lvlJc w:val="right"/>
        <w:pPr>
          <w:ind w:left="500" w:hanging="180"/>
        </w:pPr>
        <w:rPr>
          <w:rFonts w:ascii="Symbol" w:hAnsi="Symbol" w:hint="default"/>
        </w:rPr>
      </w:lvl>
    </w:lvlOverride>
    <w:lvlOverride w:ilvl="1">
      <w:startOverride w:val="1"/>
      <w:lvl w:ilvl="1" w:tplc="94B09D38">
        <w:start w:val="1"/>
        <w:numFmt w:val="decimal"/>
        <w:lvlText w:val="%2."/>
        <w:lvlJc w:val="right"/>
        <w:pPr>
          <w:ind w:left="1000" w:hanging="180"/>
        </w:pPr>
      </w:lvl>
    </w:lvlOverride>
    <w:lvlOverride w:ilvl="2">
      <w:startOverride w:val="1"/>
      <w:lvl w:ilvl="2" w:tplc="1696C6AC">
        <w:start w:val="1"/>
        <w:numFmt w:val="decimal"/>
        <w:lvlText w:val="%3."/>
        <w:lvlJc w:val="right"/>
        <w:pPr>
          <w:ind w:left="1500" w:hanging="180"/>
        </w:pPr>
      </w:lvl>
    </w:lvlOverride>
    <w:lvlOverride w:ilvl="3">
      <w:startOverride w:val="1"/>
      <w:lvl w:ilvl="3" w:tplc="657E255A">
        <w:start w:val="1"/>
        <w:numFmt w:val="decimal"/>
        <w:lvlText w:val="%4."/>
        <w:lvlJc w:val="right"/>
        <w:pPr>
          <w:ind w:left="2000" w:hanging="180"/>
        </w:pPr>
      </w:lvl>
    </w:lvlOverride>
    <w:lvlOverride w:ilvl="4">
      <w:startOverride w:val="1"/>
      <w:lvl w:ilvl="4" w:tplc="312A67B8">
        <w:start w:val="1"/>
        <w:numFmt w:val="decimal"/>
        <w:lvlText w:val="%5."/>
        <w:lvlJc w:val="right"/>
        <w:pPr>
          <w:ind w:left="2500" w:hanging="180"/>
        </w:pPr>
      </w:lvl>
    </w:lvlOverride>
    <w:lvlOverride w:ilvl="5">
      <w:startOverride w:val="1"/>
      <w:lvl w:ilvl="5" w:tplc="631246F8">
        <w:start w:val="1"/>
        <w:numFmt w:val="decimal"/>
        <w:lvlText w:val="%6."/>
        <w:lvlJc w:val="right"/>
        <w:pPr>
          <w:ind w:left="3000" w:hanging="180"/>
        </w:pPr>
      </w:lvl>
    </w:lvlOverride>
    <w:lvlOverride w:ilvl="6">
      <w:startOverride w:val="1"/>
      <w:lvl w:ilvl="6" w:tplc="FB0A684C">
        <w:start w:val="1"/>
        <w:numFmt w:val="decimal"/>
        <w:lvlText w:val="%7."/>
        <w:lvlJc w:val="right"/>
        <w:pPr>
          <w:ind w:left="3500" w:hanging="180"/>
        </w:pPr>
      </w:lvl>
    </w:lvlOverride>
    <w:lvlOverride w:ilvl="7">
      <w:startOverride w:val="1"/>
      <w:lvl w:ilvl="7" w:tplc="96A60A3A">
        <w:start w:val="1"/>
        <w:numFmt w:val="decimal"/>
        <w:lvlText w:val="%8."/>
        <w:lvlJc w:val="right"/>
        <w:pPr>
          <w:ind w:left="4000" w:hanging="180"/>
        </w:pPr>
      </w:lvl>
    </w:lvlOverride>
    <w:lvlOverride w:ilvl="8">
      <w:startOverride w:val="1"/>
      <w:lvl w:ilvl="8" w:tplc="B896F6BC">
        <w:start w:val="1"/>
        <w:numFmt w:val="decimal"/>
        <w:lvlText w:val="%9."/>
        <w:lvlJc w:val="right"/>
        <w:pPr>
          <w:ind w:left="4500" w:hanging="180"/>
        </w:pPr>
      </w:lvl>
    </w:lvlOverride>
  </w:num>
  <w:num w:numId="76" w16cid:durableId="1205486917">
    <w:abstractNumId w:val="40"/>
    <w:lvlOverride w:ilvl="0">
      <w:startOverride w:val="1"/>
      <w:lvl w:ilvl="0" w:tplc="457AE830">
        <w:start w:val="1"/>
        <w:numFmt w:val="bullet"/>
        <w:lvlText w:val=""/>
        <w:lvlJc w:val="right"/>
        <w:pPr>
          <w:ind w:left="500" w:hanging="180"/>
        </w:pPr>
        <w:rPr>
          <w:rFonts w:ascii="Symbol" w:hAnsi="Symbol" w:hint="default"/>
        </w:rPr>
      </w:lvl>
    </w:lvlOverride>
    <w:lvlOverride w:ilvl="1">
      <w:startOverride w:val="1"/>
      <w:lvl w:ilvl="1" w:tplc="F5AC72AE">
        <w:start w:val="1"/>
        <w:numFmt w:val="decimal"/>
        <w:lvlText w:val="%2."/>
        <w:lvlJc w:val="right"/>
        <w:pPr>
          <w:ind w:left="1000" w:hanging="180"/>
        </w:pPr>
      </w:lvl>
    </w:lvlOverride>
    <w:lvlOverride w:ilvl="2">
      <w:startOverride w:val="1"/>
      <w:lvl w:ilvl="2" w:tplc="E0DCF72C">
        <w:start w:val="1"/>
        <w:numFmt w:val="decimal"/>
        <w:lvlText w:val="%3."/>
        <w:lvlJc w:val="right"/>
        <w:pPr>
          <w:ind w:left="1500" w:hanging="180"/>
        </w:pPr>
      </w:lvl>
    </w:lvlOverride>
    <w:lvlOverride w:ilvl="3">
      <w:startOverride w:val="1"/>
      <w:lvl w:ilvl="3" w:tplc="E4BCA9E8">
        <w:start w:val="1"/>
        <w:numFmt w:val="decimal"/>
        <w:lvlText w:val="%4."/>
        <w:lvlJc w:val="right"/>
        <w:pPr>
          <w:ind w:left="2000" w:hanging="180"/>
        </w:pPr>
      </w:lvl>
    </w:lvlOverride>
    <w:lvlOverride w:ilvl="4">
      <w:startOverride w:val="1"/>
      <w:lvl w:ilvl="4" w:tplc="C7FED7E2">
        <w:start w:val="1"/>
        <w:numFmt w:val="decimal"/>
        <w:lvlText w:val="%5."/>
        <w:lvlJc w:val="right"/>
        <w:pPr>
          <w:ind w:left="2500" w:hanging="180"/>
        </w:pPr>
      </w:lvl>
    </w:lvlOverride>
    <w:lvlOverride w:ilvl="5">
      <w:startOverride w:val="1"/>
      <w:lvl w:ilvl="5" w:tplc="780A7372">
        <w:start w:val="1"/>
        <w:numFmt w:val="decimal"/>
        <w:lvlText w:val="%6."/>
        <w:lvlJc w:val="right"/>
        <w:pPr>
          <w:ind w:left="3000" w:hanging="180"/>
        </w:pPr>
      </w:lvl>
    </w:lvlOverride>
    <w:lvlOverride w:ilvl="6">
      <w:startOverride w:val="1"/>
      <w:lvl w:ilvl="6" w:tplc="63DEA3DE">
        <w:start w:val="1"/>
        <w:numFmt w:val="decimal"/>
        <w:lvlText w:val="%7."/>
        <w:lvlJc w:val="right"/>
        <w:pPr>
          <w:ind w:left="3500" w:hanging="180"/>
        </w:pPr>
      </w:lvl>
    </w:lvlOverride>
    <w:lvlOverride w:ilvl="7">
      <w:startOverride w:val="1"/>
      <w:lvl w:ilvl="7" w:tplc="2A487378">
        <w:start w:val="1"/>
        <w:numFmt w:val="decimal"/>
        <w:lvlText w:val="%8."/>
        <w:lvlJc w:val="right"/>
        <w:pPr>
          <w:ind w:left="4000" w:hanging="180"/>
        </w:pPr>
      </w:lvl>
    </w:lvlOverride>
    <w:lvlOverride w:ilvl="8">
      <w:startOverride w:val="1"/>
      <w:lvl w:ilvl="8" w:tplc="1D244A6C">
        <w:start w:val="1"/>
        <w:numFmt w:val="decimal"/>
        <w:lvlText w:val="%9."/>
        <w:lvlJc w:val="right"/>
        <w:pPr>
          <w:ind w:left="4500" w:hanging="180"/>
        </w:pPr>
      </w:lvl>
    </w:lvlOverride>
  </w:num>
  <w:num w:numId="77" w16cid:durableId="1725327219">
    <w:abstractNumId w:val="86"/>
    <w:lvlOverride w:ilvl="0">
      <w:startOverride w:val="1"/>
      <w:lvl w:ilvl="0" w:tplc="F79A5F6E">
        <w:start w:val="1"/>
        <w:numFmt w:val="bullet"/>
        <w:lvlText w:val=""/>
        <w:lvlJc w:val="right"/>
        <w:pPr>
          <w:ind w:left="500" w:hanging="180"/>
        </w:pPr>
        <w:rPr>
          <w:rFonts w:ascii="Symbol" w:hAnsi="Symbol" w:hint="default"/>
        </w:rPr>
      </w:lvl>
    </w:lvlOverride>
    <w:lvlOverride w:ilvl="1">
      <w:startOverride w:val="1"/>
      <w:lvl w:ilvl="1" w:tplc="590A3BBC">
        <w:start w:val="1"/>
        <w:numFmt w:val="decimal"/>
        <w:lvlText w:val="%2."/>
        <w:lvlJc w:val="right"/>
        <w:pPr>
          <w:ind w:left="1000" w:hanging="180"/>
        </w:pPr>
      </w:lvl>
    </w:lvlOverride>
    <w:lvlOverride w:ilvl="2">
      <w:startOverride w:val="1"/>
      <w:lvl w:ilvl="2" w:tplc="E892C0DE">
        <w:start w:val="1"/>
        <w:numFmt w:val="decimal"/>
        <w:lvlText w:val="%3."/>
        <w:lvlJc w:val="right"/>
        <w:pPr>
          <w:ind w:left="1500" w:hanging="180"/>
        </w:pPr>
      </w:lvl>
    </w:lvlOverride>
    <w:lvlOverride w:ilvl="3">
      <w:startOverride w:val="1"/>
      <w:lvl w:ilvl="3" w:tplc="7CE6083E">
        <w:start w:val="1"/>
        <w:numFmt w:val="decimal"/>
        <w:lvlText w:val="%4."/>
        <w:lvlJc w:val="right"/>
        <w:pPr>
          <w:ind w:left="2000" w:hanging="180"/>
        </w:pPr>
      </w:lvl>
    </w:lvlOverride>
    <w:lvlOverride w:ilvl="4">
      <w:startOverride w:val="1"/>
      <w:lvl w:ilvl="4" w:tplc="82E89CB0">
        <w:start w:val="1"/>
        <w:numFmt w:val="decimal"/>
        <w:lvlText w:val="%5."/>
        <w:lvlJc w:val="right"/>
        <w:pPr>
          <w:ind w:left="2500" w:hanging="180"/>
        </w:pPr>
      </w:lvl>
    </w:lvlOverride>
    <w:lvlOverride w:ilvl="5">
      <w:startOverride w:val="1"/>
      <w:lvl w:ilvl="5" w:tplc="A3522CB8">
        <w:start w:val="1"/>
        <w:numFmt w:val="decimal"/>
        <w:lvlText w:val="%6."/>
        <w:lvlJc w:val="right"/>
        <w:pPr>
          <w:ind w:left="3000" w:hanging="180"/>
        </w:pPr>
      </w:lvl>
    </w:lvlOverride>
    <w:lvlOverride w:ilvl="6">
      <w:startOverride w:val="1"/>
      <w:lvl w:ilvl="6" w:tplc="07940428">
        <w:start w:val="1"/>
        <w:numFmt w:val="decimal"/>
        <w:lvlText w:val="%7."/>
        <w:lvlJc w:val="right"/>
        <w:pPr>
          <w:ind w:left="3500" w:hanging="180"/>
        </w:pPr>
      </w:lvl>
    </w:lvlOverride>
    <w:lvlOverride w:ilvl="7">
      <w:startOverride w:val="1"/>
      <w:lvl w:ilvl="7" w:tplc="EB5CB6B4">
        <w:start w:val="1"/>
        <w:numFmt w:val="decimal"/>
        <w:lvlText w:val="%8."/>
        <w:lvlJc w:val="right"/>
        <w:pPr>
          <w:ind w:left="4000" w:hanging="180"/>
        </w:pPr>
      </w:lvl>
    </w:lvlOverride>
    <w:lvlOverride w:ilvl="8">
      <w:startOverride w:val="1"/>
      <w:lvl w:ilvl="8" w:tplc="B922D7A2">
        <w:start w:val="1"/>
        <w:numFmt w:val="decimal"/>
        <w:lvlText w:val="%9."/>
        <w:lvlJc w:val="right"/>
        <w:pPr>
          <w:ind w:left="4500" w:hanging="180"/>
        </w:pPr>
      </w:lvl>
    </w:lvlOverride>
  </w:num>
  <w:num w:numId="78" w16cid:durableId="1143498849">
    <w:abstractNumId w:val="79"/>
    <w:lvlOverride w:ilvl="0">
      <w:startOverride w:val="1"/>
      <w:lvl w:ilvl="0" w:tplc="2850CF78">
        <w:start w:val="1"/>
        <w:numFmt w:val="bullet"/>
        <w:lvlText w:val=""/>
        <w:lvlJc w:val="right"/>
        <w:pPr>
          <w:ind w:left="500" w:hanging="180"/>
        </w:pPr>
        <w:rPr>
          <w:rFonts w:ascii="Symbol" w:hAnsi="Symbol" w:hint="default"/>
        </w:rPr>
      </w:lvl>
    </w:lvlOverride>
    <w:lvlOverride w:ilvl="1">
      <w:startOverride w:val="1"/>
      <w:lvl w:ilvl="1" w:tplc="B7CE0380">
        <w:start w:val="1"/>
        <w:numFmt w:val="decimal"/>
        <w:lvlText w:val="%2."/>
        <w:lvlJc w:val="right"/>
        <w:pPr>
          <w:ind w:left="1000" w:hanging="180"/>
        </w:pPr>
      </w:lvl>
    </w:lvlOverride>
    <w:lvlOverride w:ilvl="2">
      <w:startOverride w:val="1"/>
      <w:lvl w:ilvl="2" w:tplc="AB8C9BA4">
        <w:start w:val="1"/>
        <w:numFmt w:val="decimal"/>
        <w:lvlText w:val="%3."/>
        <w:lvlJc w:val="right"/>
        <w:pPr>
          <w:ind w:left="1500" w:hanging="180"/>
        </w:pPr>
      </w:lvl>
    </w:lvlOverride>
    <w:lvlOverride w:ilvl="3">
      <w:startOverride w:val="1"/>
      <w:lvl w:ilvl="3" w:tplc="63A4E142">
        <w:start w:val="1"/>
        <w:numFmt w:val="decimal"/>
        <w:lvlText w:val="%4."/>
        <w:lvlJc w:val="right"/>
        <w:pPr>
          <w:ind w:left="2000" w:hanging="180"/>
        </w:pPr>
      </w:lvl>
    </w:lvlOverride>
    <w:lvlOverride w:ilvl="4">
      <w:startOverride w:val="1"/>
      <w:lvl w:ilvl="4" w:tplc="6374E022">
        <w:start w:val="1"/>
        <w:numFmt w:val="decimal"/>
        <w:lvlText w:val="%5."/>
        <w:lvlJc w:val="right"/>
        <w:pPr>
          <w:ind w:left="2500" w:hanging="180"/>
        </w:pPr>
      </w:lvl>
    </w:lvlOverride>
    <w:lvlOverride w:ilvl="5">
      <w:startOverride w:val="1"/>
      <w:lvl w:ilvl="5" w:tplc="338AC47C">
        <w:start w:val="1"/>
        <w:numFmt w:val="decimal"/>
        <w:lvlText w:val="%6."/>
        <w:lvlJc w:val="right"/>
        <w:pPr>
          <w:ind w:left="3000" w:hanging="180"/>
        </w:pPr>
      </w:lvl>
    </w:lvlOverride>
    <w:lvlOverride w:ilvl="6">
      <w:startOverride w:val="1"/>
      <w:lvl w:ilvl="6" w:tplc="6A96533C">
        <w:start w:val="1"/>
        <w:numFmt w:val="decimal"/>
        <w:lvlText w:val="%7."/>
        <w:lvlJc w:val="right"/>
        <w:pPr>
          <w:ind w:left="3500" w:hanging="180"/>
        </w:pPr>
      </w:lvl>
    </w:lvlOverride>
    <w:lvlOverride w:ilvl="7">
      <w:startOverride w:val="1"/>
      <w:lvl w:ilvl="7" w:tplc="8A265DA2">
        <w:start w:val="1"/>
        <w:numFmt w:val="decimal"/>
        <w:lvlText w:val="%8."/>
        <w:lvlJc w:val="right"/>
        <w:pPr>
          <w:ind w:left="4000" w:hanging="180"/>
        </w:pPr>
      </w:lvl>
    </w:lvlOverride>
    <w:lvlOverride w:ilvl="8">
      <w:startOverride w:val="1"/>
      <w:lvl w:ilvl="8" w:tplc="A880D850">
        <w:start w:val="1"/>
        <w:numFmt w:val="decimal"/>
        <w:lvlText w:val="%9."/>
        <w:lvlJc w:val="right"/>
        <w:pPr>
          <w:ind w:left="4500" w:hanging="180"/>
        </w:pPr>
      </w:lvl>
    </w:lvlOverride>
  </w:num>
  <w:num w:numId="79" w16cid:durableId="2003508205">
    <w:abstractNumId w:val="76"/>
    <w:lvlOverride w:ilvl="0">
      <w:startOverride w:val="1"/>
      <w:lvl w:ilvl="0" w:tplc="3F6A3358">
        <w:start w:val="1"/>
        <w:numFmt w:val="bullet"/>
        <w:lvlText w:val=""/>
        <w:lvlJc w:val="right"/>
        <w:pPr>
          <w:ind w:left="500" w:hanging="180"/>
        </w:pPr>
        <w:rPr>
          <w:rFonts w:ascii="Symbol" w:hAnsi="Symbol" w:hint="default"/>
        </w:rPr>
      </w:lvl>
    </w:lvlOverride>
    <w:lvlOverride w:ilvl="1">
      <w:startOverride w:val="1"/>
      <w:lvl w:ilvl="1" w:tplc="35F4525C">
        <w:start w:val="1"/>
        <w:numFmt w:val="bullet"/>
        <w:lvlText w:val="o"/>
        <w:lvlJc w:val="right"/>
        <w:pPr>
          <w:ind w:left="1000" w:hanging="180"/>
        </w:pPr>
        <w:rPr>
          <w:rFonts w:ascii="Symbol" w:hAnsi="Symbol" w:hint="default"/>
        </w:rPr>
      </w:lvl>
    </w:lvlOverride>
    <w:lvlOverride w:ilvl="2">
      <w:startOverride w:val="1"/>
      <w:lvl w:ilvl="2" w:tplc="16287842">
        <w:start w:val="1"/>
        <w:numFmt w:val="decimal"/>
        <w:lvlText w:val="%3."/>
        <w:lvlJc w:val="right"/>
        <w:pPr>
          <w:ind w:left="1500" w:hanging="180"/>
        </w:pPr>
      </w:lvl>
    </w:lvlOverride>
    <w:lvlOverride w:ilvl="3">
      <w:startOverride w:val="1"/>
      <w:lvl w:ilvl="3" w:tplc="1C36BF26">
        <w:start w:val="1"/>
        <w:numFmt w:val="decimal"/>
        <w:lvlText w:val="%4."/>
        <w:lvlJc w:val="right"/>
        <w:pPr>
          <w:ind w:left="2000" w:hanging="180"/>
        </w:pPr>
      </w:lvl>
    </w:lvlOverride>
    <w:lvlOverride w:ilvl="4">
      <w:startOverride w:val="1"/>
      <w:lvl w:ilvl="4" w:tplc="86B66B34">
        <w:start w:val="1"/>
        <w:numFmt w:val="decimal"/>
        <w:lvlText w:val="%5."/>
        <w:lvlJc w:val="right"/>
        <w:pPr>
          <w:ind w:left="2500" w:hanging="180"/>
        </w:pPr>
      </w:lvl>
    </w:lvlOverride>
    <w:lvlOverride w:ilvl="5">
      <w:startOverride w:val="1"/>
      <w:lvl w:ilvl="5" w:tplc="1BF863B6">
        <w:start w:val="1"/>
        <w:numFmt w:val="decimal"/>
        <w:lvlText w:val="%6."/>
        <w:lvlJc w:val="right"/>
        <w:pPr>
          <w:ind w:left="3000" w:hanging="180"/>
        </w:pPr>
      </w:lvl>
    </w:lvlOverride>
    <w:lvlOverride w:ilvl="6">
      <w:startOverride w:val="1"/>
      <w:lvl w:ilvl="6" w:tplc="B3B0EB70">
        <w:start w:val="1"/>
        <w:numFmt w:val="decimal"/>
        <w:lvlText w:val="%7."/>
        <w:lvlJc w:val="right"/>
        <w:pPr>
          <w:ind w:left="3500" w:hanging="180"/>
        </w:pPr>
      </w:lvl>
    </w:lvlOverride>
    <w:lvlOverride w:ilvl="7">
      <w:startOverride w:val="1"/>
      <w:lvl w:ilvl="7" w:tplc="D5861000">
        <w:start w:val="1"/>
        <w:numFmt w:val="decimal"/>
        <w:lvlText w:val="%8."/>
        <w:lvlJc w:val="right"/>
        <w:pPr>
          <w:ind w:left="4000" w:hanging="180"/>
        </w:pPr>
      </w:lvl>
    </w:lvlOverride>
    <w:lvlOverride w:ilvl="8">
      <w:startOverride w:val="1"/>
      <w:lvl w:ilvl="8" w:tplc="100291EA">
        <w:start w:val="1"/>
        <w:numFmt w:val="decimal"/>
        <w:lvlText w:val="%9."/>
        <w:lvlJc w:val="right"/>
        <w:pPr>
          <w:ind w:left="4500" w:hanging="180"/>
        </w:pPr>
      </w:lvl>
    </w:lvlOverride>
  </w:num>
  <w:num w:numId="80" w16cid:durableId="1725105174">
    <w:abstractNumId w:val="11"/>
    <w:lvlOverride w:ilvl="0">
      <w:startOverride w:val="1"/>
      <w:lvl w:ilvl="0" w:tplc="E20810A2">
        <w:start w:val="1"/>
        <w:numFmt w:val="bullet"/>
        <w:lvlText w:val=""/>
        <w:lvlJc w:val="right"/>
        <w:pPr>
          <w:ind w:left="500" w:hanging="180"/>
        </w:pPr>
        <w:rPr>
          <w:rFonts w:ascii="Symbol" w:hAnsi="Symbol" w:hint="default"/>
        </w:rPr>
      </w:lvl>
    </w:lvlOverride>
    <w:lvlOverride w:ilvl="1">
      <w:startOverride w:val="1"/>
      <w:lvl w:ilvl="1" w:tplc="5CD6F9DC">
        <w:start w:val="1"/>
        <w:numFmt w:val="decimal"/>
        <w:lvlText w:val="%2."/>
        <w:lvlJc w:val="right"/>
        <w:pPr>
          <w:ind w:left="1000" w:hanging="180"/>
        </w:pPr>
      </w:lvl>
    </w:lvlOverride>
    <w:lvlOverride w:ilvl="2">
      <w:startOverride w:val="1"/>
      <w:lvl w:ilvl="2" w:tplc="F6965A64">
        <w:start w:val="1"/>
        <w:numFmt w:val="decimal"/>
        <w:lvlText w:val="%3."/>
        <w:lvlJc w:val="right"/>
        <w:pPr>
          <w:ind w:left="1500" w:hanging="180"/>
        </w:pPr>
      </w:lvl>
    </w:lvlOverride>
    <w:lvlOverride w:ilvl="3">
      <w:startOverride w:val="1"/>
      <w:lvl w:ilvl="3" w:tplc="040CA04A">
        <w:start w:val="1"/>
        <w:numFmt w:val="decimal"/>
        <w:lvlText w:val="%4."/>
        <w:lvlJc w:val="right"/>
        <w:pPr>
          <w:ind w:left="2000" w:hanging="180"/>
        </w:pPr>
      </w:lvl>
    </w:lvlOverride>
    <w:lvlOverride w:ilvl="4">
      <w:startOverride w:val="1"/>
      <w:lvl w:ilvl="4" w:tplc="D226B6DC">
        <w:start w:val="1"/>
        <w:numFmt w:val="decimal"/>
        <w:lvlText w:val="%5."/>
        <w:lvlJc w:val="right"/>
        <w:pPr>
          <w:ind w:left="2500" w:hanging="180"/>
        </w:pPr>
      </w:lvl>
    </w:lvlOverride>
    <w:lvlOverride w:ilvl="5">
      <w:startOverride w:val="1"/>
      <w:lvl w:ilvl="5" w:tplc="AFA266EE">
        <w:start w:val="1"/>
        <w:numFmt w:val="decimal"/>
        <w:lvlText w:val="%6."/>
        <w:lvlJc w:val="right"/>
        <w:pPr>
          <w:ind w:left="3000" w:hanging="180"/>
        </w:pPr>
      </w:lvl>
    </w:lvlOverride>
    <w:lvlOverride w:ilvl="6">
      <w:startOverride w:val="1"/>
      <w:lvl w:ilvl="6" w:tplc="1BE6A9B2">
        <w:start w:val="1"/>
        <w:numFmt w:val="decimal"/>
        <w:lvlText w:val="%7."/>
        <w:lvlJc w:val="right"/>
        <w:pPr>
          <w:ind w:left="3500" w:hanging="180"/>
        </w:pPr>
      </w:lvl>
    </w:lvlOverride>
    <w:lvlOverride w:ilvl="7">
      <w:startOverride w:val="1"/>
      <w:lvl w:ilvl="7" w:tplc="8320F20E">
        <w:start w:val="1"/>
        <w:numFmt w:val="decimal"/>
        <w:lvlText w:val="%8."/>
        <w:lvlJc w:val="right"/>
        <w:pPr>
          <w:ind w:left="4000" w:hanging="180"/>
        </w:pPr>
      </w:lvl>
    </w:lvlOverride>
    <w:lvlOverride w:ilvl="8">
      <w:startOverride w:val="1"/>
      <w:lvl w:ilvl="8" w:tplc="A1F83B30">
        <w:start w:val="1"/>
        <w:numFmt w:val="decimal"/>
        <w:lvlText w:val="%9."/>
        <w:lvlJc w:val="right"/>
        <w:pPr>
          <w:ind w:left="4500" w:hanging="180"/>
        </w:pPr>
      </w:lvl>
    </w:lvlOverride>
  </w:num>
  <w:num w:numId="81" w16cid:durableId="413868071">
    <w:abstractNumId w:val="72"/>
    <w:lvlOverride w:ilvl="0">
      <w:startOverride w:val="1"/>
      <w:lvl w:ilvl="0" w:tplc="C4CAFBA6">
        <w:start w:val="1"/>
        <w:numFmt w:val="bullet"/>
        <w:lvlText w:val=""/>
        <w:lvlJc w:val="right"/>
        <w:pPr>
          <w:ind w:left="500" w:hanging="180"/>
        </w:pPr>
        <w:rPr>
          <w:rFonts w:ascii="Symbol" w:hAnsi="Symbol" w:hint="default"/>
        </w:rPr>
      </w:lvl>
    </w:lvlOverride>
    <w:lvlOverride w:ilvl="1">
      <w:startOverride w:val="1"/>
      <w:lvl w:ilvl="1" w:tplc="DC763968">
        <w:start w:val="1"/>
        <w:numFmt w:val="decimal"/>
        <w:lvlText w:val="%2."/>
        <w:lvlJc w:val="right"/>
        <w:pPr>
          <w:ind w:left="1000" w:hanging="180"/>
        </w:pPr>
      </w:lvl>
    </w:lvlOverride>
    <w:lvlOverride w:ilvl="2">
      <w:startOverride w:val="1"/>
      <w:lvl w:ilvl="2" w:tplc="D8AA771C">
        <w:start w:val="1"/>
        <w:numFmt w:val="decimal"/>
        <w:lvlText w:val="%3."/>
        <w:lvlJc w:val="right"/>
        <w:pPr>
          <w:ind w:left="1500" w:hanging="180"/>
        </w:pPr>
      </w:lvl>
    </w:lvlOverride>
    <w:lvlOverride w:ilvl="3">
      <w:startOverride w:val="1"/>
      <w:lvl w:ilvl="3" w:tplc="CD3403FA">
        <w:start w:val="1"/>
        <w:numFmt w:val="decimal"/>
        <w:lvlText w:val="%4."/>
        <w:lvlJc w:val="right"/>
        <w:pPr>
          <w:ind w:left="2000" w:hanging="180"/>
        </w:pPr>
      </w:lvl>
    </w:lvlOverride>
    <w:lvlOverride w:ilvl="4">
      <w:startOverride w:val="1"/>
      <w:lvl w:ilvl="4" w:tplc="F154B4AE">
        <w:start w:val="1"/>
        <w:numFmt w:val="decimal"/>
        <w:lvlText w:val="%5."/>
        <w:lvlJc w:val="right"/>
        <w:pPr>
          <w:ind w:left="2500" w:hanging="180"/>
        </w:pPr>
      </w:lvl>
    </w:lvlOverride>
    <w:lvlOverride w:ilvl="5">
      <w:startOverride w:val="1"/>
      <w:lvl w:ilvl="5" w:tplc="13502076">
        <w:start w:val="1"/>
        <w:numFmt w:val="decimal"/>
        <w:lvlText w:val="%6."/>
        <w:lvlJc w:val="right"/>
        <w:pPr>
          <w:ind w:left="3000" w:hanging="180"/>
        </w:pPr>
      </w:lvl>
    </w:lvlOverride>
    <w:lvlOverride w:ilvl="6">
      <w:startOverride w:val="1"/>
      <w:lvl w:ilvl="6" w:tplc="A1D60CAA">
        <w:start w:val="1"/>
        <w:numFmt w:val="decimal"/>
        <w:lvlText w:val="%7."/>
        <w:lvlJc w:val="right"/>
        <w:pPr>
          <w:ind w:left="3500" w:hanging="180"/>
        </w:pPr>
      </w:lvl>
    </w:lvlOverride>
    <w:lvlOverride w:ilvl="7">
      <w:startOverride w:val="1"/>
      <w:lvl w:ilvl="7" w:tplc="4122489E">
        <w:start w:val="1"/>
        <w:numFmt w:val="decimal"/>
        <w:lvlText w:val="%8."/>
        <w:lvlJc w:val="right"/>
        <w:pPr>
          <w:ind w:left="4000" w:hanging="180"/>
        </w:pPr>
      </w:lvl>
    </w:lvlOverride>
    <w:lvlOverride w:ilvl="8">
      <w:startOverride w:val="1"/>
      <w:lvl w:ilvl="8" w:tplc="54C220A2">
        <w:start w:val="1"/>
        <w:numFmt w:val="decimal"/>
        <w:lvlText w:val="%9."/>
        <w:lvlJc w:val="right"/>
        <w:pPr>
          <w:ind w:left="4500" w:hanging="180"/>
        </w:pPr>
      </w:lvl>
    </w:lvlOverride>
  </w:num>
  <w:num w:numId="82" w16cid:durableId="1000429159">
    <w:abstractNumId w:val="51"/>
    <w:lvlOverride w:ilvl="0">
      <w:startOverride w:val="1"/>
      <w:lvl w:ilvl="0" w:tplc="63AC493E">
        <w:start w:val="1"/>
        <w:numFmt w:val="bullet"/>
        <w:lvlText w:val=""/>
        <w:lvlJc w:val="right"/>
        <w:pPr>
          <w:ind w:left="500" w:hanging="180"/>
        </w:pPr>
        <w:rPr>
          <w:rFonts w:ascii="Symbol" w:hAnsi="Symbol" w:hint="default"/>
        </w:rPr>
      </w:lvl>
    </w:lvlOverride>
    <w:lvlOverride w:ilvl="1">
      <w:startOverride w:val="1"/>
      <w:lvl w:ilvl="1" w:tplc="3BE2D606">
        <w:start w:val="1"/>
        <w:numFmt w:val="decimal"/>
        <w:lvlText w:val="%2."/>
        <w:lvlJc w:val="right"/>
        <w:pPr>
          <w:ind w:left="1000" w:hanging="180"/>
        </w:pPr>
      </w:lvl>
    </w:lvlOverride>
    <w:lvlOverride w:ilvl="2">
      <w:startOverride w:val="1"/>
      <w:lvl w:ilvl="2" w:tplc="1A847AE8">
        <w:start w:val="1"/>
        <w:numFmt w:val="decimal"/>
        <w:lvlText w:val="%3."/>
        <w:lvlJc w:val="right"/>
        <w:pPr>
          <w:ind w:left="1500" w:hanging="180"/>
        </w:pPr>
      </w:lvl>
    </w:lvlOverride>
    <w:lvlOverride w:ilvl="3">
      <w:startOverride w:val="1"/>
      <w:lvl w:ilvl="3" w:tplc="A18C10E2">
        <w:start w:val="1"/>
        <w:numFmt w:val="decimal"/>
        <w:lvlText w:val="%4."/>
        <w:lvlJc w:val="right"/>
        <w:pPr>
          <w:ind w:left="2000" w:hanging="180"/>
        </w:pPr>
      </w:lvl>
    </w:lvlOverride>
    <w:lvlOverride w:ilvl="4">
      <w:startOverride w:val="1"/>
      <w:lvl w:ilvl="4" w:tplc="2C225930">
        <w:start w:val="1"/>
        <w:numFmt w:val="decimal"/>
        <w:lvlText w:val="%5."/>
        <w:lvlJc w:val="right"/>
        <w:pPr>
          <w:ind w:left="2500" w:hanging="180"/>
        </w:pPr>
      </w:lvl>
    </w:lvlOverride>
    <w:lvlOverride w:ilvl="5">
      <w:startOverride w:val="1"/>
      <w:lvl w:ilvl="5" w:tplc="DC900FCE">
        <w:start w:val="1"/>
        <w:numFmt w:val="decimal"/>
        <w:lvlText w:val="%6."/>
        <w:lvlJc w:val="right"/>
        <w:pPr>
          <w:ind w:left="3000" w:hanging="180"/>
        </w:pPr>
      </w:lvl>
    </w:lvlOverride>
    <w:lvlOverride w:ilvl="6">
      <w:startOverride w:val="1"/>
      <w:lvl w:ilvl="6" w:tplc="CAD61E6E">
        <w:start w:val="1"/>
        <w:numFmt w:val="decimal"/>
        <w:lvlText w:val="%7."/>
        <w:lvlJc w:val="right"/>
        <w:pPr>
          <w:ind w:left="3500" w:hanging="180"/>
        </w:pPr>
      </w:lvl>
    </w:lvlOverride>
    <w:lvlOverride w:ilvl="7">
      <w:startOverride w:val="1"/>
      <w:lvl w:ilvl="7" w:tplc="E80470A0">
        <w:start w:val="1"/>
        <w:numFmt w:val="decimal"/>
        <w:lvlText w:val="%8."/>
        <w:lvlJc w:val="right"/>
        <w:pPr>
          <w:ind w:left="4000" w:hanging="180"/>
        </w:pPr>
      </w:lvl>
    </w:lvlOverride>
    <w:lvlOverride w:ilvl="8">
      <w:startOverride w:val="1"/>
      <w:lvl w:ilvl="8" w:tplc="41E421E6">
        <w:start w:val="1"/>
        <w:numFmt w:val="decimal"/>
        <w:lvlText w:val="%9."/>
        <w:lvlJc w:val="right"/>
        <w:pPr>
          <w:ind w:left="4500" w:hanging="180"/>
        </w:pPr>
      </w:lvl>
    </w:lvlOverride>
  </w:num>
  <w:num w:numId="83" w16cid:durableId="857502569">
    <w:abstractNumId w:val="76"/>
    <w:lvlOverride w:ilvl="0">
      <w:startOverride w:val="1"/>
      <w:lvl w:ilvl="0" w:tplc="3F6A3358">
        <w:start w:val="1"/>
        <w:numFmt w:val="bullet"/>
        <w:lvlText w:val=""/>
        <w:lvlJc w:val="right"/>
        <w:pPr>
          <w:ind w:left="500" w:hanging="180"/>
        </w:pPr>
        <w:rPr>
          <w:rFonts w:ascii="Symbol" w:hAnsi="Symbol" w:hint="default"/>
        </w:rPr>
      </w:lvl>
    </w:lvlOverride>
    <w:lvlOverride w:ilvl="1">
      <w:startOverride w:val="1"/>
      <w:lvl w:ilvl="1" w:tplc="35F4525C">
        <w:start w:val="1"/>
        <w:numFmt w:val="decimal"/>
        <w:lvlText w:val="%2."/>
        <w:lvlJc w:val="right"/>
        <w:pPr>
          <w:ind w:left="1000" w:hanging="180"/>
        </w:pPr>
      </w:lvl>
    </w:lvlOverride>
    <w:lvlOverride w:ilvl="2">
      <w:startOverride w:val="1"/>
      <w:lvl w:ilvl="2" w:tplc="16287842">
        <w:start w:val="1"/>
        <w:numFmt w:val="decimal"/>
        <w:lvlText w:val="%3."/>
        <w:lvlJc w:val="right"/>
        <w:pPr>
          <w:ind w:left="1500" w:hanging="180"/>
        </w:pPr>
      </w:lvl>
    </w:lvlOverride>
    <w:lvlOverride w:ilvl="3">
      <w:startOverride w:val="1"/>
      <w:lvl w:ilvl="3" w:tplc="1C36BF26">
        <w:start w:val="1"/>
        <w:numFmt w:val="decimal"/>
        <w:lvlText w:val="%4."/>
        <w:lvlJc w:val="right"/>
        <w:pPr>
          <w:ind w:left="2000" w:hanging="180"/>
        </w:pPr>
      </w:lvl>
    </w:lvlOverride>
    <w:lvlOverride w:ilvl="4">
      <w:startOverride w:val="1"/>
      <w:lvl w:ilvl="4" w:tplc="86B66B34">
        <w:start w:val="1"/>
        <w:numFmt w:val="decimal"/>
        <w:lvlText w:val="%5."/>
        <w:lvlJc w:val="right"/>
        <w:pPr>
          <w:ind w:left="2500" w:hanging="180"/>
        </w:pPr>
      </w:lvl>
    </w:lvlOverride>
    <w:lvlOverride w:ilvl="5">
      <w:startOverride w:val="1"/>
      <w:lvl w:ilvl="5" w:tplc="1BF863B6">
        <w:start w:val="1"/>
        <w:numFmt w:val="decimal"/>
        <w:lvlText w:val="%6."/>
        <w:lvlJc w:val="right"/>
        <w:pPr>
          <w:ind w:left="3000" w:hanging="180"/>
        </w:pPr>
      </w:lvl>
    </w:lvlOverride>
    <w:lvlOverride w:ilvl="6">
      <w:startOverride w:val="1"/>
      <w:lvl w:ilvl="6" w:tplc="B3B0EB70">
        <w:start w:val="1"/>
        <w:numFmt w:val="decimal"/>
        <w:lvlText w:val="%7."/>
        <w:lvlJc w:val="right"/>
        <w:pPr>
          <w:ind w:left="3500" w:hanging="180"/>
        </w:pPr>
      </w:lvl>
    </w:lvlOverride>
    <w:lvlOverride w:ilvl="7">
      <w:startOverride w:val="1"/>
      <w:lvl w:ilvl="7" w:tplc="D5861000">
        <w:start w:val="1"/>
        <w:numFmt w:val="decimal"/>
        <w:lvlText w:val="%8."/>
        <w:lvlJc w:val="right"/>
        <w:pPr>
          <w:ind w:left="4000" w:hanging="180"/>
        </w:pPr>
      </w:lvl>
    </w:lvlOverride>
    <w:lvlOverride w:ilvl="8">
      <w:startOverride w:val="1"/>
      <w:lvl w:ilvl="8" w:tplc="100291EA">
        <w:start w:val="1"/>
        <w:numFmt w:val="decimal"/>
        <w:lvlText w:val="%9."/>
        <w:lvlJc w:val="right"/>
        <w:pPr>
          <w:ind w:left="4500" w:hanging="180"/>
        </w:pPr>
      </w:lvl>
    </w:lvlOverride>
  </w:num>
  <w:num w:numId="84" w16cid:durableId="1941719732">
    <w:abstractNumId w:val="2"/>
    <w:lvlOverride w:ilvl="0">
      <w:startOverride w:val="1"/>
      <w:lvl w:ilvl="0" w:tplc="5486FB8C">
        <w:start w:val="1"/>
        <w:numFmt w:val="bullet"/>
        <w:lvlText w:val=""/>
        <w:lvlJc w:val="right"/>
        <w:pPr>
          <w:ind w:left="500" w:hanging="180"/>
        </w:pPr>
        <w:rPr>
          <w:rFonts w:ascii="Symbol" w:hAnsi="Symbol" w:hint="default"/>
        </w:rPr>
      </w:lvl>
    </w:lvlOverride>
    <w:lvlOverride w:ilvl="1">
      <w:startOverride w:val="1"/>
      <w:lvl w:ilvl="1" w:tplc="D714AEBA">
        <w:start w:val="1"/>
        <w:numFmt w:val="decimal"/>
        <w:lvlText w:val="%2."/>
        <w:lvlJc w:val="right"/>
        <w:pPr>
          <w:ind w:left="1000" w:hanging="180"/>
        </w:pPr>
      </w:lvl>
    </w:lvlOverride>
    <w:lvlOverride w:ilvl="2">
      <w:startOverride w:val="1"/>
      <w:lvl w:ilvl="2" w:tplc="A12CA0E0">
        <w:start w:val="1"/>
        <w:numFmt w:val="decimal"/>
        <w:lvlText w:val="%3."/>
        <w:lvlJc w:val="right"/>
        <w:pPr>
          <w:ind w:left="1500" w:hanging="180"/>
        </w:pPr>
      </w:lvl>
    </w:lvlOverride>
    <w:lvlOverride w:ilvl="3">
      <w:startOverride w:val="1"/>
      <w:lvl w:ilvl="3" w:tplc="2BC484A0">
        <w:start w:val="1"/>
        <w:numFmt w:val="decimal"/>
        <w:lvlText w:val="%4."/>
        <w:lvlJc w:val="right"/>
        <w:pPr>
          <w:ind w:left="2000" w:hanging="180"/>
        </w:pPr>
      </w:lvl>
    </w:lvlOverride>
    <w:lvlOverride w:ilvl="4">
      <w:startOverride w:val="1"/>
      <w:lvl w:ilvl="4" w:tplc="7AFC7802">
        <w:start w:val="1"/>
        <w:numFmt w:val="decimal"/>
        <w:lvlText w:val="%5."/>
        <w:lvlJc w:val="right"/>
        <w:pPr>
          <w:ind w:left="2500" w:hanging="180"/>
        </w:pPr>
      </w:lvl>
    </w:lvlOverride>
    <w:lvlOverride w:ilvl="5">
      <w:startOverride w:val="1"/>
      <w:lvl w:ilvl="5" w:tplc="89108B9E">
        <w:start w:val="1"/>
        <w:numFmt w:val="decimal"/>
        <w:lvlText w:val="%6."/>
        <w:lvlJc w:val="right"/>
        <w:pPr>
          <w:ind w:left="3000" w:hanging="180"/>
        </w:pPr>
      </w:lvl>
    </w:lvlOverride>
    <w:lvlOverride w:ilvl="6">
      <w:startOverride w:val="1"/>
      <w:lvl w:ilvl="6" w:tplc="912A600C">
        <w:start w:val="1"/>
        <w:numFmt w:val="decimal"/>
        <w:lvlText w:val="%7."/>
        <w:lvlJc w:val="right"/>
        <w:pPr>
          <w:ind w:left="3500" w:hanging="180"/>
        </w:pPr>
      </w:lvl>
    </w:lvlOverride>
    <w:lvlOverride w:ilvl="7">
      <w:startOverride w:val="1"/>
      <w:lvl w:ilvl="7" w:tplc="126ABBD6">
        <w:start w:val="1"/>
        <w:numFmt w:val="decimal"/>
        <w:lvlText w:val="%8."/>
        <w:lvlJc w:val="right"/>
        <w:pPr>
          <w:ind w:left="4000" w:hanging="180"/>
        </w:pPr>
      </w:lvl>
    </w:lvlOverride>
    <w:lvlOverride w:ilvl="8">
      <w:startOverride w:val="1"/>
      <w:lvl w:ilvl="8" w:tplc="8DFEE238">
        <w:start w:val="1"/>
        <w:numFmt w:val="decimal"/>
        <w:lvlText w:val="%9."/>
        <w:lvlJc w:val="right"/>
        <w:pPr>
          <w:ind w:left="4500" w:hanging="180"/>
        </w:pPr>
      </w:lvl>
    </w:lvlOverride>
  </w:num>
  <w:num w:numId="85" w16cid:durableId="1876428341">
    <w:abstractNumId w:val="14"/>
    <w:lvlOverride w:ilvl="0">
      <w:startOverride w:val="1"/>
      <w:lvl w:ilvl="0" w:tplc="E03027A6">
        <w:start w:val="1"/>
        <w:numFmt w:val="bullet"/>
        <w:lvlText w:val=""/>
        <w:lvlJc w:val="right"/>
        <w:pPr>
          <w:ind w:left="500" w:hanging="180"/>
        </w:pPr>
        <w:rPr>
          <w:rFonts w:ascii="Symbol" w:hAnsi="Symbol" w:hint="default"/>
        </w:rPr>
      </w:lvl>
    </w:lvlOverride>
    <w:lvlOverride w:ilvl="1">
      <w:startOverride w:val="1"/>
      <w:lvl w:ilvl="1" w:tplc="91C01ADA">
        <w:start w:val="1"/>
        <w:numFmt w:val="decimal"/>
        <w:lvlText w:val="%2."/>
        <w:lvlJc w:val="right"/>
        <w:pPr>
          <w:ind w:left="1000" w:hanging="180"/>
        </w:pPr>
      </w:lvl>
    </w:lvlOverride>
    <w:lvlOverride w:ilvl="2">
      <w:startOverride w:val="1"/>
      <w:lvl w:ilvl="2" w:tplc="994C76C8">
        <w:start w:val="1"/>
        <w:numFmt w:val="decimal"/>
        <w:lvlText w:val="%3."/>
        <w:lvlJc w:val="right"/>
        <w:pPr>
          <w:ind w:left="1500" w:hanging="180"/>
        </w:pPr>
      </w:lvl>
    </w:lvlOverride>
    <w:lvlOverride w:ilvl="3">
      <w:startOverride w:val="1"/>
      <w:lvl w:ilvl="3" w:tplc="4BEE8038">
        <w:start w:val="1"/>
        <w:numFmt w:val="decimal"/>
        <w:lvlText w:val="%4."/>
        <w:lvlJc w:val="right"/>
        <w:pPr>
          <w:ind w:left="2000" w:hanging="180"/>
        </w:pPr>
      </w:lvl>
    </w:lvlOverride>
    <w:lvlOverride w:ilvl="4">
      <w:startOverride w:val="1"/>
      <w:lvl w:ilvl="4" w:tplc="43E6415C">
        <w:start w:val="1"/>
        <w:numFmt w:val="decimal"/>
        <w:lvlText w:val="%5."/>
        <w:lvlJc w:val="right"/>
        <w:pPr>
          <w:ind w:left="2500" w:hanging="180"/>
        </w:pPr>
      </w:lvl>
    </w:lvlOverride>
    <w:lvlOverride w:ilvl="5">
      <w:startOverride w:val="1"/>
      <w:lvl w:ilvl="5" w:tplc="B89CB1B2">
        <w:start w:val="1"/>
        <w:numFmt w:val="decimal"/>
        <w:lvlText w:val="%6."/>
        <w:lvlJc w:val="right"/>
        <w:pPr>
          <w:ind w:left="3000" w:hanging="180"/>
        </w:pPr>
      </w:lvl>
    </w:lvlOverride>
    <w:lvlOverride w:ilvl="6">
      <w:startOverride w:val="1"/>
      <w:lvl w:ilvl="6" w:tplc="884EB78C">
        <w:start w:val="1"/>
        <w:numFmt w:val="decimal"/>
        <w:lvlText w:val="%7."/>
        <w:lvlJc w:val="right"/>
        <w:pPr>
          <w:ind w:left="3500" w:hanging="180"/>
        </w:pPr>
      </w:lvl>
    </w:lvlOverride>
    <w:lvlOverride w:ilvl="7">
      <w:startOverride w:val="1"/>
      <w:lvl w:ilvl="7" w:tplc="0F30EB00">
        <w:start w:val="1"/>
        <w:numFmt w:val="decimal"/>
        <w:lvlText w:val="%8."/>
        <w:lvlJc w:val="right"/>
        <w:pPr>
          <w:ind w:left="4000" w:hanging="180"/>
        </w:pPr>
      </w:lvl>
    </w:lvlOverride>
    <w:lvlOverride w:ilvl="8">
      <w:startOverride w:val="1"/>
      <w:lvl w:ilvl="8" w:tplc="25048018">
        <w:start w:val="1"/>
        <w:numFmt w:val="decimal"/>
        <w:lvlText w:val="%9."/>
        <w:lvlJc w:val="right"/>
        <w:pPr>
          <w:ind w:left="4500" w:hanging="180"/>
        </w:pPr>
      </w:lvl>
    </w:lvlOverride>
  </w:num>
  <w:num w:numId="86" w16cid:durableId="134572185">
    <w:abstractNumId w:val="21"/>
    <w:lvlOverride w:ilvl="0">
      <w:startOverride w:val="1"/>
      <w:lvl w:ilvl="0" w:tplc="AF42E4EC">
        <w:start w:val="1"/>
        <w:numFmt w:val="bullet"/>
        <w:lvlText w:val=""/>
        <w:lvlJc w:val="right"/>
        <w:pPr>
          <w:ind w:left="500" w:hanging="180"/>
        </w:pPr>
        <w:rPr>
          <w:rFonts w:ascii="Symbol" w:hAnsi="Symbol" w:hint="default"/>
        </w:rPr>
      </w:lvl>
    </w:lvlOverride>
    <w:lvlOverride w:ilvl="1">
      <w:startOverride w:val="1"/>
      <w:lvl w:ilvl="1" w:tplc="D2C0C320">
        <w:start w:val="1"/>
        <w:numFmt w:val="decimal"/>
        <w:lvlText w:val="%2."/>
        <w:lvlJc w:val="right"/>
        <w:pPr>
          <w:ind w:left="1000" w:hanging="180"/>
        </w:pPr>
      </w:lvl>
    </w:lvlOverride>
    <w:lvlOverride w:ilvl="2">
      <w:startOverride w:val="1"/>
      <w:lvl w:ilvl="2" w:tplc="4F90D226">
        <w:start w:val="1"/>
        <w:numFmt w:val="decimal"/>
        <w:lvlText w:val="%3."/>
        <w:lvlJc w:val="right"/>
        <w:pPr>
          <w:ind w:left="1500" w:hanging="180"/>
        </w:pPr>
      </w:lvl>
    </w:lvlOverride>
    <w:lvlOverride w:ilvl="3">
      <w:startOverride w:val="1"/>
      <w:lvl w:ilvl="3" w:tplc="B59EDE64">
        <w:start w:val="1"/>
        <w:numFmt w:val="decimal"/>
        <w:lvlText w:val="%4."/>
        <w:lvlJc w:val="right"/>
        <w:pPr>
          <w:ind w:left="2000" w:hanging="180"/>
        </w:pPr>
      </w:lvl>
    </w:lvlOverride>
    <w:lvlOverride w:ilvl="4">
      <w:startOverride w:val="1"/>
      <w:lvl w:ilvl="4" w:tplc="5582EC60">
        <w:start w:val="1"/>
        <w:numFmt w:val="decimal"/>
        <w:lvlText w:val="%5."/>
        <w:lvlJc w:val="right"/>
        <w:pPr>
          <w:ind w:left="2500" w:hanging="180"/>
        </w:pPr>
      </w:lvl>
    </w:lvlOverride>
    <w:lvlOverride w:ilvl="5">
      <w:startOverride w:val="1"/>
      <w:lvl w:ilvl="5" w:tplc="A3D00D12">
        <w:start w:val="1"/>
        <w:numFmt w:val="decimal"/>
        <w:lvlText w:val="%6."/>
        <w:lvlJc w:val="right"/>
        <w:pPr>
          <w:ind w:left="3000" w:hanging="180"/>
        </w:pPr>
      </w:lvl>
    </w:lvlOverride>
    <w:lvlOverride w:ilvl="6">
      <w:startOverride w:val="1"/>
      <w:lvl w:ilvl="6" w:tplc="A964EC72">
        <w:start w:val="1"/>
        <w:numFmt w:val="decimal"/>
        <w:lvlText w:val="%7."/>
        <w:lvlJc w:val="right"/>
        <w:pPr>
          <w:ind w:left="3500" w:hanging="180"/>
        </w:pPr>
      </w:lvl>
    </w:lvlOverride>
    <w:lvlOverride w:ilvl="7">
      <w:startOverride w:val="1"/>
      <w:lvl w:ilvl="7" w:tplc="5ED0DD6C">
        <w:start w:val="1"/>
        <w:numFmt w:val="decimal"/>
        <w:lvlText w:val="%8."/>
        <w:lvlJc w:val="right"/>
        <w:pPr>
          <w:ind w:left="4000" w:hanging="180"/>
        </w:pPr>
      </w:lvl>
    </w:lvlOverride>
    <w:lvlOverride w:ilvl="8">
      <w:startOverride w:val="1"/>
      <w:lvl w:ilvl="8" w:tplc="376C9C0C">
        <w:start w:val="1"/>
        <w:numFmt w:val="decimal"/>
        <w:lvlText w:val="%9."/>
        <w:lvlJc w:val="right"/>
        <w:pPr>
          <w:ind w:left="4500" w:hanging="180"/>
        </w:pPr>
      </w:lvl>
    </w:lvlOverride>
  </w:num>
  <w:num w:numId="87" w16cid:durableId="899176498">
    <w:abstractNumId w:val="6"/>
    <w:lvlOverride w:ilvl="0">
      <w:startOverride w:val="1"/>
      <w:lvl w:ilvl="0" w:tplc="51B03A90">
        <w:start w:val="1"/>
        <w:numFmt w:val="bullet"/>
        <w:lvlText w:val=""/>
        <w:lvlJc w:val="right"/>
        <w:pPr>
          <w:ind w:left="500" w:hanging="180"/>
        </w:pPr>
        <w:rPr>
          <w:rFonts w:ascii="Symbol" w:hAnsi="Symbol" w:hint="default"/>
        </w:rPr>
      </w:lvl>
    </w:lvlOverride>
    <w:lvlOverride w:ilvl="1">
      <w:startOverride w:val="1"/>
      <w:lvl w:ilvl="1" w:tplc="011003A2">
        <w:start w:val="1"/>
        <w:numFmt w:val="decimal"/>
        <w:lvlText w:val="%2."/>
        <w:lvlJc w:val="right"/>
        <w:pPr>
          <w:ind w:left="1000" w:hanging="180"/>
        </w:pPr>
      </w:lvl>
    </w:lvlOverride>
    <w:lvlOverride w:ilvl="2">
      <w:startOverride w:val="1"/>
      <w:lvl w:ilvl="2" w:tplc="AF024AA8">
        <w:start w:val="1"/>
        <w:numFmt w:val="decimal"/>
        <w:lvlText w:val="%3."/>
        <w:lvlJc w:val="right"/>
        <w:pPr>
          <w:ind w:left="1500" w:hanging="180"/>
        </w:pPr>
      </w:lvl>
    </w:lvlOverride>
    <w:lvlOverride w:ilvl="3">
      <w:startOverride w:val="1"/>
      <w:lvl w:ilvl="3" w:tplc="7C901C18">
        <w:start w:val="1"/>
        <w:numFmt w:val="decimal"/>
        <w:lvlText w:val="%4."/>
        <w:lvlJc w:val="right"/>
        <w:pPr>
          <w:ind w:left="2000" w:hanging="180"/>
        </w:pPr>
      </w:lvl>
    </w:lvlOverride>
    <w:lvlOverride w:ilvl="4">
      <w:startOverride w:val="1"/>
      <w:lvl w:ilvl="4" w:tplc="4FDC3AFA">
        <w:start w:val="1"/>
        <w:numFmt w:val="decimal"/>
        <w:lvlText w:val="%5."/>
        <w:lvlJc w:val="right"/>
        <w:pPr>
          <w:ind w:left="2500" w:hanging="180"/>
        </w:pPr>
      </w:lvl>
    </w:lvlOverride>
    <w:lvlOverride w:ilvl="5">
      <w:startOverride w:val="1"/>
      <w:lvl w:ilvl="5" w:tplc="02746DC0">
        <w:start w:val="1"/>
        <w:numFmt w:val="decimal"/>
        <w:lvlText w:val="%6."/>
        <w:lvlJc w:val="right"/>
        <w:pPr>
          <w:ind w:left="3000" w:hanging="180"/>
        </w:pPr>
      </w:lvl>
    </w:lvlOverride>
    <w:lvlOverride w:ilvl="6">
      <w:startOverride w:val="1"/>
      <w:lvl w:ilvl="6" w:tplc="E0D4E522">
        <w:start w:val="1"/>
        <w:numFmt w:val="decimal"/>
        <w:lvlText w:val="%7."/>
        <w:lvlJc w:val="right"/>
        <w:pPr>
          <w:ind w:left="3500" w:hanging="180"/>
        </w:pPr>
      </w:lvl>
    </w:lvlOverride>
    <w:lvlOverride w:ilvl="7">
      <w:startOverride w:val="1"/>
      <w:lvl w:ilvl="7" w:tplc="F266D044">
        <w:start w:val="1"/>
        <w:numFmt w:val="decimal"/>
        <w:lvlText w:val="%8."/>
        <w:lvlJc w:val="right"/>
        <w:pPr>
          <w:ind w:left="4000" w:hanging="180"/>
        </w:pPr>
      </w:lvl>
    </w:lvlOverride>
    <w:lvlOverride w:ilvl="8">
      <w:startOverride w:val="1"/>
      <w:lvl w:ilvl="8" w:tplc="4190B3C2">
        <w:start w:val="1"/>
        <w:numFmt w:val="decimal"/>
        <w:lvlText w:val="%9."/>
        <w:lvlJc w:val="right"/>
        <w:pPr>
          <w:ind w:left="4500" w:hanging="180"/>
        </w:pPr>
      </w:lvl>
    </w:lvlOverride>
  </w:num>
  <w:num w:numId="88" w16cid:durableId="849565336">
    <w:abstractNumId w:val="30"/>
    <w:lvlOverride w:ilvl="0">
      <w:startOverride w:val="1"/>
      <w:lvl w:ilvl="0" w:tplc="2D08F0EC">
        <w:start w:val="1"/>
        <w:numFmt w:val="bullet"/>
        <w:lvlText w:val=""/>
        <w:lvlJc w:val="right"/>
        <w:pPr>
          <w:ind w:left="500" w:hanging="180"/>
        </w:pPr>
        <w:rPr>
          <w:rFonts w:ascii="Symbol" w:hAnsi="Symbol" w:hint="default"/>
        </w:rPr>
      </w:lvl>
    </w:lvlOverride>
    <w:lvlOverride w:ilvl="1">
      <w:startOverride w:val="1"/>
      <w:lvl w:ilvl="1" w:tplc="3F727706">
        <w:start w:val="1"/>
        <w:numFmt w:val="decimal"/>
        <w:lvlText w:val="%2."/>
        <w:lvlJc w:val="right"/>
        <w:pPr>
          <w:ind w:left="1000" w:hanging="180"/>
        </w:pPr>
      </w:lvl>
    </w:lvlOverride>
    <w:lvlOverride w:ilvl="2">
      <w:startOverride w:val="1"/>
      <w:lvl w:ilvl="2" w:tplc="89D2C120">
        <w:start w:val="1"/>
        <w:numFmt w:val="decimal"/>
        <w:lvlText w:val="%3."/>
        <w:lvlJc w:val="right"/>
        <w:pPr>
          <w:ind w:left="1500" w:hanging="180"/>
        </w:pPr>
      </w:lvl>
    </w:lvlOverride>
    <w:lvlOverride w:ilvl="3">
      <w:startOverride w:val="1"/>
      <w:lvl w:ilvl="3" w:tplc="93BE8F1C">
        <w:start w:val="1"/>
        <w:numFmt w:val="decimal"/>
        <w:lvlText w:val="%4."/>
        <w:lvlJc w:val="right"/>
        <w:pPr>
          <w:ind w:left="2000" w:hanging="180"/>
        </w:pPr>
      </w:lvl>
    </w:lvlOverride>
    <w:lvlOverride w:ilvl="4">
      <w:startOverride w:val="1"/>
      <w:lvl w:ilvl="4" w:tplc="994804D6">
        <w:start w:val="1"/>
        <w:numFmt w:val="decimal"/>
        <w:lvlText w:val="%5."/>
        <w:lvlJc w:val="right"/>
        <w:pPr>
          <w:ind w:left="2500" w:hanging="180"/>
        </w:pPr>
      </w:lvl>
    </w:lvlOverride>
    <w:lvlOverride w:ilvl="5">
      <w:startOverride w:val="1"/>
      <w:lvl w:ilvl="5" w:tplc="E26C0BB6">
        <w:start w:val="1"/>
        <w:numFmt w:val="decimal"/>
        <w:lvlText w:val="%6."/>
        <w:lvlJc w:val="right"/>
        <w:pPr>
          <w:ind w:left="3000" w:hanging="180"/>
        </w:pPr>
      </w:lvl>
    </w:lvlOverride>
    <w:lvlOverride w:ilvl="6">
      <w:startOverride w:val="1"/>
      <w:lvl w:ilvl="6" w:tplc="BD96A84A">
        <w:start w:val="1"/>
        <w:numFmt w:val="decimal"/>
        <w:lvlText w:val="%7."/>
        <w:lvlJc w:val="right"/>
        <w:pPr>
          <w:ind w:left="3500" w:hanging="180"/>
        </w:pPr>
      </w:lvl>
    </w:lvlOverride>
    <w:lvlOverride w:ilvl="7">
      <w:startOverride w:val="1"/>
      <w:lvl w:ilvl="7" w:tplc="B5D2B142">
        <w:start w:val="1"/>
        <w:numFmt w:val="decimal"/>
        <w:lvlText w:val="%8."/>
        <w:lvlJc w:val="right"/>
        <w:pPr>
          <w:ind w:left="4000" w:hanging="180"/>
        </w:pPr>
      </w:lvl>
    </w:lvlOverride>
    <w:lvlOverride w:ilvl="8">
      <w:startOverride w:val="1"/>
      <w:lvl w:ilvl="8" w:tplc="AD96EC2E">
        <w:start w:val="1"/>
        <w:numFmt w:val="decimal"/>
        <w:lvlText w:val="%9."/>
        <w:lvlJc w:val="right"/>
        <w:pPr>
          <w:ind w:left="4500" w:hanging="180"/>
        </w:pPr>
      </w:lvl>
    </w:lvlOverride>
  </w:num>
  <w:num w:numId="89" w16cid:durableId="1738436339">
    <w:abstractNumId w:val="4"/>
    <w:lvlOverride w:ilvl="0">
      <w:startOverride w:val="1"/>
      <w:lvl w:ilvl="0" w:tplc="7BB44F70">
        <w:start w:val="1"/>
        <w:numFmt w:val="bullet"/>
        <w:lvlText w:val=""/>
        <w:lvlJc w:val="right"/>
        <w:pPr>
          <w:ind w:left="500" w:hanging="180"/>
        </w:pPr>
        <w:rPr>
          <w:rFonts w:ascii="Symbol" w:hAnsi="Symbol" w:hint="default"/>
        </w:rPr>
      </w:lvl>
    </w:lvlOverride>
    <w:lvlOverride w:ilvl="1">
      <w:startOverride w:val="1"/>
      <w:lvl w:ilvl="1" w:tplc="FBEA0E16">
        <w:start w:val="1"/>
        <w:numFmt w:val="decimal"/>
        <w:lvlText w:val="%2."/>
        <w:lvlJc w:val="right"/>
        <w:pPr>
          <w:ind w:left="1000" w:hanging="180"/>
        </w:pPr>
      </w:lvl>
    </w:lvlOverride>
    <w:lvlOverride w:ilvl="2">
      <w:startOverride w:val="1"/>
      <w:lvl w:ilvl="2" w:tplc="B1102390">
        <w:start w:val="1"/>
        <w:numFmt w:val="decimal"/>
        <w:lvlText w:val="%3."/>
        <w:lvlJc w:val="right"/>
        <w:pPr>
          <w:ind w:left="1500" w:hanging="180"/>
        </w:pPr>
      </w:lvl>
    </w:lvlOverride>
    <w:lvlOverride w:ilvl="3">
      <w:startOverride w:val="1"/>
      <w:lvl w:ilvl="3" w:tplc="CF14D720">
        <w:start w:val="1"/>
        <w:numFmt w:val="decimal"/>
        <w:lvlText w:val="%4."/>
        <w:lvlJc w:val="right"/>
        <w:pPr>
          <w:ind w:left="2000" w:hanging="180"/>
        </w:pPr>
      </w:lvl>
    </w:lvlOverride>
    <w:lvlOverride w:ilvl="4">
      <w:startOverride w:val="1"/>
      <w:lvl w:ilvl="4" w:tplc="A31C1496">
        <w:start w:val="1"/>
        <w:numFmt w:val="decimal"/>
        <w:lvlText w:val="%5."/>
        <w:lvlJc w:val="right"/>
        <w:pPr>
          <w:ind w:left="2500" w:hanging="180"/>
        </w:pPr>
      </w:lvl>
    </w:lvlOverride>
    <w:lvlOverride w:ilvl="5">
      <w:startOverride w:val="1"/>
      <w:lvl w:ilvl="5" w:tplc="24D20DBE">
        <w:start w:val="1"/>
        <w:numFmt w:val="decimal"/>
        <w:lvlText w:val="%6."/>
        <w:lvlJc w:val="right"/>
        <w:pPr>
          <w:ind w:left="3000" w:hanging="180"/>
        </w:pPr>
      </w:lvl>
    </w:lvlOverride>
    <w:lvlOverride w:ilvl="6">
      <w:startOverride w:val="1"/>
      <w:lvl w:ilvl="6" w:tplc="B2D07B80">
        <w:start w:val="1"/>
        <w:numFmt w:val="decimal"/>
        <w:lvlText w:val="%7."/>
        <w:lvlJc w:val="right"/>
        <w:pPr>
          <w:ind w:left="3500" w:hanging="180"/>
        </w:pPr>
      </w:lvl>
    </w:lvlOverride>
    <w:lvlOverride w:ilvl="7">
      <w:startOverride w:val="1"/>
      <w:lvl w:ilvl="7" w:tplc="5D003F72">
        <w:start w:val="1"/>
        <w:numFmt w:val="decimal"/>
        <w:lvlText w:val="%8."/>
        <w:lvlJc w:val="right"/>
        <w:pPr>
          <w:ind w:left="4000" w:hanging="180"/>
        </w:pPr>
      </w:lvl>
    </w:lvlOverride>
    <w:lvlOverride w:ilvl="8">
      <w:startOverride w:val="1"/>
      <w:lvl w:ilvl="8" w:tplc="59D0E408">
        <w:start w:val="1"/>
        <w:numFmt w:val="decimal"/>
        <w:lvlText w:val="%9."/>
        <w:lvlJc w:val="right"/>
        <w:pPr>
          <w:ind w:left="4500" w:hanging="180"/>
        </w:pPr>
      </w:lvl>
    </w:lvlOverride>
  </w:num>
  <w:num w:numId="90" w16cid:durableId="1514758094">
    <w:abstractNumId w:val="66"/>
    <w:lvlOverride w:ilvl="0">
      <w:startOverride w:val="1"/>
      <w:lvl w:ilvl="0" w:tplc="A1E8B594">
        <w:start w:val="1"/>
        <w:numFmt w:val="bullet"/>
        <w:lvlText w:val=""/>
        <w:lvlJc w:val="right"/>
        <w:pPr>
          <w:ind w:left="500" w:hanging="180"/>
        </w:pPr>
        <w:rPr>
          <w:rFonts w:ascii="Symbol" w:hAnsi="Symbol" w:hint="default"/>
        </w:rPr>
      </w:lvl>
    </w:lvlOverride>
    <w:lvlOverride w:ilvl="1">
      <w:startOverride w:val="1"/>
      <w:lvl w:ilvl="1" w:tplc="68FACF96">
        <w:start w:val="1"/>
        <w:numFmt w:val="decimal"/>
        <w:lvlText w:val="%2."/>
        <w:lvlJc w:val="right"/>
        <w:pPr>
          <w:ind w:left="1000" w:hanging="180"/>
        </w:pPr>
      </w:lvl>
    </w:lvlOverride>
    <w:lvlOverride w:ilvl="2">
      <w:startOverride w:val="1"/>
      <w:lvl w:ilvl="2" w:tplc="67A0E568">
        <w:start w:val="1"/>
        <w:numFmt w:val="decimal"/>
        <w:lvlText w:val="%3."/>
        <w:lvlJc w:val="right"/>
        <w:pPr>
          <w:ind w:left="1500" w:hanging="180"/>
        </w:pPr>
      </w:lvl>
    </w:lvlOverride>
    <w:lvlOverride w:ilvl="3">
      <w:startOverride w:val="1"/>
      <w:lvl w:ilvl="3" w:tplc="8300F502">
        <w:start w:val="1"/>
        <w:numFmt w:val="decimal"/>
        <w:lvlText w:val="%4."/>
        <w:lvlJc w:val="right"/>
        <w:pPr>
          <w:ind w:left="2000" w:hanging="180"/>
        </w:pPr>
      </w:lvl>
    </w:lvlOverride>
    <w:lvlOverride w:ilvl="4">
      <w:startOverride w:val="1"/>
      <w:lvl w:ilvl="4" w:tplc="F168E02E">
        <w:start w:val="1"/>
        <w:numFmt w:val="decimal"/>
        <w:lvlText w:val="%5."/>
        <w:lvlJc w:val="right"/>
        <w:pPr>
          <w:ind w:left="2500" w:hanging="180"/>
        </w:pPr>
      </w:lvl>
    </w:lvlOverride>
    <w:lvlOverride w:ilvl="5">
      <w:startOverride w:val="1"/>
      <w:lvl w:ilvl="5" w:tplc="E5069528">
        <w:start w:val="1"/>
        <w:numFmt w:val="decimal"/>
        <w:lvlText w:val="%6."/>
        <w:lvlJc w:val="right"/>
        <w:pPr>
          <w:ind w:left="3000" w:hanging="180"/>
        </w:pPr>
      </w:lvl>
    </w:lvlOverride>
    <w:lvlOverride w:ilvl="6">
      <w:startOverride w:val="1"/>
      <w:lvl w:ilvl="6" w:tplc="A93E381E">
        <w:start w:val="1"/>
        <w:numFmt w:val="decimal"/>
        <w:lvlText w:val="%7."/>
        <w:lvlJc w:val="right"/>
        <w:pPr>
          <w:ind w:left="3500" w:hanging="180"/>
        </w:pPr>
      </w:lvl>
    </w:lvlOverride>
    <w:lvlOverride w:ilvl="7">
      <w:startOverride w:val="1"/>
      <w:lvl w:ilvl="7" w:tplc="65A0047C">
        <w:start w:val="1"/>
        <w:numFmt w:val="decimal"/>
        <w:lvlText w:val="%8."/>
        <w:lvlJc w:val="right"/>
        <w:pPr>
          <w:ind w:left="4000" w:hanging="180"/>
        </w:pPr>
      </w:lvl>
    </w:lvlOverride>
    <w:lvlOverride w:ilvl="8">
      <w:startOverride w:val="1"/>
      <w:lvl w:ilvl="8" w:tplc="8290554E">
        <w:start w:val="1"/>
        <w:numFmt w:val="decimal"/>
        <w:lvlText w:val="%9."/>
        <w:lvlJc w:val="right"/>
        <w:pPr>
          <w:ind w:left="4500" w:hanging="180"/>
        </w:pPr>
      </w:lvl>
    </w:lvlOverride>
  </w:num>
  <w:num w:numId="91" w16cid:durableId="1518814258">
    <w:abstractNumId w:val="60"/>
    <w:lvlOverride w:ilvl="0">
      <w:startOverride w:val="1"/>
      <w:lvl w:ilvl="0" w:tplc="F10E2CB0">
        <w:start w:val="1"/>
        <w:numFmt w:val="bullet"/>
        <w:lvlText w:val=""/>
        <w:lvlJc w:val="right"/>
        <w:pPr>
          <w:ind w:left="500" w:hanging="180"/>
        </w:pPr>
        <w:rPr>
          <w:rFonts w:ascii="Symbol" w:hAnsi="Symbol" w:hint="default"/>
        </w:rPr>
      </w:lvl>
    </w:lvlOverride>
    <w:lvlOverride w:ilvl="1">
      <w:startOverride w:val="1"/>
      <w:lvl w:ilvl="1" w:tplc="C972B706">
        <w:start w:val="1"/>
        <w:numFmt w:val="decimal"/>
        <w:lvlText w:val="%2."/>
        <w:lvlJc w:val="right"/>
        <w:pPr>
          <w:ind w:left="1000" w:hanging="180"/>
        </w:pPr>
      </w:lvl>
    </w:lvlOverride>
    <w:lvlOverride w:ilvl="2">
      <w:startOverride w:val="1"/>
      <w:lvl w:ilvl="2" w:tplc="E7AE8C20">
        <w:start w:val="1"/>
        <w:numFmt w:val="decimal"/>
        <w:lvlText w:val="%3."/>
        <w:lvlJc w:val="right"/>
        <w:pPr>
          <w:ind w:left="1500" w:hanging="180"/>
        </w:pPr>
      </w:lvl>
    </w:lvlOverride>
    <w:lvlOverride w:ilvl="3">
      <w:startOverride w:val="1"/>
      <w:lvl w:ilvl="3" w:tplc="111A53A6">
        <w:start w:val="1"/>
        <w:numFmt w:val="decimal"/>
        <w:lvlText w:val="%4."/>
        <w:lvlJc w:val="right"/>
        <w:pPr>
          <w:ind w:left="2000" w:hanging="180"/>
        </w:pPr>
      </w:lvl>
    </w:lvlOverride>
    <w:lvlOverride w:ilvl="4">
      <w:startOverride w:val="1"/>
      <w:lvl w:ilvl="4" w:tplc="9AD45FF2">
        <w:start w:val="1"/>
        <w:numFmt w:val="decimal"/>
        <w:lvlText w:val="%5."/>
        <w:lvlJc w:val="right"/>
        <w:pPr>
          <w:ind w:left="2500" w:hanging="180"/>
        </w:pPr>
      </w:lvl>
    </w:lvlOverride>
    <w:lvlOverride w:ilvl="5">
      <w:startOverride w:val="1"/>
      <w:lvl w:ilvl="5" w:tplc="62DE62CE">
        <w:start w:val="1"/>
        <w:numFmt w:val="decimal"/>
        <w:lvlText w:val="%6."/>
        <w:lvlJc w:val="right"/>
        <w:pPr>
          <w:ind w:left="3000" w:hanging="180"/>
        </w:pPr>
      </w:lvl>
    </w:lvlOverride>
    <w:lvlOverride w:ilvl="6">
      <w:startOverride w:val="1"/>
      <w:lvl w:ilvl="6" w:tplc="D996EDDC">
        <w:start w:val="1"/>
        <w:numFmt w:val="decimal"/>
        <w:lvlText w:val="%7."/>
        <w:lvlJc w:val="right"/>
        <w:pPr>
          <w:ind w:left="3500" w:hanging="180"/>
        </w:pPr>
      </w:lvl>
    </w:lvlOverride>
    <w:lvlOverride w:ilvl="7">
      <w:startOverride w:val="1"/>
      <w:lvl w:ilvl="7" w:tplc="AB6E251E">
        <w:start w:val="1"/>
        <w:numFmt w:val="decimal"/>
        <w:lvlText w:val="%8."/>
        <w:lvlJc w:val="right"/>
        <w:pPr>
          <w:ind w:left="4000" w:hanging="180"/>
        </w:pPr>
      </w:lvl>
    </w:lvlOverride>
    <w:lvlOverride w:ilvl="8">
      <w:startOverride w:val="1"/>
      <w:lvl w:ilvl="8" w:tplc="37AE7C6E">
        <w:start w:val="1"/>
        <w:numFmt w:val="decimal"/>
        <w:lvlText w:val="%9."/>
        <w:lvlJc w:val="right"/>
        <w:pPr>
          <w:ind w:left="4500" w:hanging="180"/>
        </w:pPr>
      </w:lvl>
    </w:lvlOverride>
  </w:num>
  <w:num w:numId="92" w16cid:durableId="1811946541">
    <w:abstractNumId w:val="39"/>
    <w:lvlOverride w:ilvl="0">
      <w:startOverride w:val="1"/>
      <w:lvl w:ilvl="0" w:tplc="94C4CEDE">
        <w:start w:val="1"/>
        <w:numFmt w:val="bullet"/>
        <w:lvlText w:val=""/>
        <w:lvlJc w:val="right"/>
        <w:pPr>
          <w:ind w:left="500" w:hanging="180"/>
        </w:pPr>
        <w:rPr>
          <w:rFonts w:ascii="Symbol" w:hAnsi="Symbol" w:hint="default"/>
        </w:rPr>
      </w:lvl>
    </w:lvlOverride>
    <w:lvlOverride w:ilvl="1">
      <w:startOverride w:val="1"/>
      <w:lvl w:ilvl="1" w:tplc="C230273C">
        <w:start w:val="1"/>
        <w:numFmt w:val="decimal"/>
        <w:lvlText w:val="%2."/>
        <w:lvlJc w:val="right"/>
        <w:pPr>
          <w:ind w:left="1000" w:hanging="180"/>
        </w:pPr>
      </w:lvl>
    </w:lvlOverride>
    <w:lvlOverride w:ilvl="2">
      <w:startOverride w:val="1"/>
      <w:lvl w:ilvl="2" w:tplc="79367F74">
        <w:start w:val="1"/>
        <w:numFmt w:val="decimal"/>
        <w:lvlText w:val="%3."/>
        <w:lvlJc w:val="right"/>
        <w:pPr>
          <w:ind w:left="1500" w:hanging="180"/>
        </w:pPr>
      </w:lvl>
    </w:lvlOverride>
    <w:lvlOverride w:ilvl="3">
      <w:startOverride w:val="1"/>
      <w:lvl w:ilvl="3" w:tplc="E8D4CF18">
        <w:start w:val="1"/>
        <w:numFmt w:val="decimal"/>
        <w:lvlText w:val="%4."/>
        <w:lvlJc w:val="right"/>
        <w:pPr>
          <w:ind w:left="2000" w:hanging="180"/>
        </w:pPr>
      </w:lvl>
    </w:lvlOverride>
    <w:lvlOverride w:ilvl="4">
      <w:startOverride w:val="1"/>
      <w:lvl w:ilvl="4" w:tplc="774AE30E">
        <w:start w:val="1"/>
        <w:numFmt w:val="decimal"/>
        <w:lvlText w:val="%5."/>
        <w:lvlJc w:val="right"/>
        <w:pPr>
          <w:ind w:left="2500" w:hanging="180"/>
        </w:pPr>
      </w:lvl>
    </w:lvlOverride>
    <w:lvlOverride w:ilvl="5">
      <w:startOverride w:val="1"/>
      <w:lvl w:ilvl="5" w:tplc="3926D478">
        <w:start w:val="1"/>
        <w:numFmt w:val="decimal"/>
        <w:lvlText w:val="%6."/>
        <w:lvlJc w:val="right"/>
        <w:pPr>
          <w:ind w:left="3000" w:hanging="180"/>
        </w:pPr>
      </w:lvl>
    </w:lvlOverride>
    <w:lvlOverride w:ilvl="6">
      <w:startOverride w:val="1"/>
      <w:lvl w:ilvl="6" w:tplc="897A7914">
        <w:start w:val="1"/>
        <w:numFmt w:val="decimal"/>
        <w:lvlText w:val="%7."/>
        <w:lvlJc w:val="right"/>
        <w:pPr>
          <w:ind w:left="3500" w:hanging="180"/>
        </w:pPr>
      </w:lvl>
    </w:lvlOverride>
    <w:lvlOverride w:ilvl="7">
      <w:startOverride w:val="1"/>
      <w:lvl w:ilvl="7" w:tplc="609A8A78">
        <w:start w:val="1"/>
        <w:numFmt w:val="decimal"/>
        <w:lvlText w:val="%8."/>
        <w:lvlJc w:val="right"/>
        <w:pPr>
          <w:ind w:left="4000" w:hanging="180"/>
        </w:pPr>
      </w:lvl>
    </w:lvlOverride>
    <w:lvlOverride w:ilvl="8">
      <w:startOverride w:val="1"/>
      <w:lvl w:ilvl="8" w:tplc="B07624E4">
        <w:start w:val="1"/>
        <w:numFmt w:val="decimal"/>
        <w:lvlText w:val="%9."/>
        <w:lvlJc w:val="right"/>
        <w:pPr>
          <w:ind w:left="4500" w:hanging="180"/>
        </w:pPr>
      </w:lvl>
    </w:lvlOverride>
  </w:num>
  <w:num w:numId="93" w16cid:durableId="82605925">
    <w:abstractNumId w:val="28"/>
    <w:lvlOverride w:ilvl="0">
      <w:startOverride w:val="1"/>
      <w:lvl w:ilvl="0" w:tplc="5EE6329C">
        <w:start w:val="1"/>
        <w:numFmt w:val="bullet"/>
        <w:lvlText w:val=""/>
        <w:lvlJc w:val="right"/>
        <w:pPr>
          <w:ind w:left="500" w:hanging="180"/>
        </w:pPr>
        <w:rPr>
          <w:rFonts w:ascii="Symbol" w:hAnsi="Symbol" w:hint="default"/>
        </w:rPr>
      </w:lvl>
    </w:lvlOverride>
    <w:lvlOverride w:ilvl="1">
      <w:startOverride w:val="1"/>
      <w:lvl w:ilvl="1" w:tplc="0B4E10B8">
        <w:start w:val="1"/>
        <w:numFmt w:val="decimal"/>
        <w:lvlText w:val="%2."/>
        <w:lvlJc w:val="right"/>
        <w:pPr>
          <w:ind w:left="1000" w:hanging="180"/>
        </w:pPr>
      </w:lvl>
    </w:lvlOverride>
    <w:lvlOverride w:ilvl="2">
      <w:startOverride w:val="1"/>
      <w:lvl w:ilvl="2" w:tplc="A3FA551E">
        <w:start w:val="1"/>
        <w:numFmt w:val="decimal"/>
        <w:lvlText w:val="%3."/>
        <w:lvlJc w:val="right"/>
        <w:pPr>
          <w:ind w:left="1500" w:hanging="180"/>
        </w:pPr>
      </w:lvl>
    </w:lvlOverride>
    <w:lvlOverride w:ilvl="3">
      <w:startOverride w:val="1"/>
      <w:lvl w:ilvl="3" w:tplc="F2E6070A">
        <w:start w:val="1"/>
        <w:numFmt w:val="decimal"/>
        <w:lvlText w:val="%4."/>
        <w:lvlJc w:val="right"/>
        <w:pPr>
          <w:ind w:left="2000" w:hanging="180"/>
        </w:pPr>
      </w:lvl>
    </w:lvlOverride>
    <w:lvlOverride w:ilvl="4">
      <w:startOverride w:val="1"/>
      <w:lvl w:ilvl="4" w:tplc="5782A938">
        <w:start w:val="1"/>
        <w:numFmt w:val="decimal"/>
        <w:lvlText w:val="%5."/>
        <w:lvlJc w:val="right"/>
        <w:pPr>
          <w:ind w:left="2500" w:hanging="180"/>
        </w:pPr>
      </w:lvl>
    </w:lvlOverride>
    <w:lvlOverride w:ilvl="5">
      <w:startOverride w:val="1"/>
      <w:lvl w:ilvl="5" w:tplc="38BE2318">
        <w:start w:val="1"/>
        <w:numFmt w:val="decimal"/>
        <w:lvlText w:val="%6."/>
        <w:lvlJc w:val="right"/>
        <w:pPr>
          <w:ind w:left="3000" w:hanging="180"/>
        </w:pPr>
      </w:lvl>
    </w:lvlOverride>
    <w:lvlOverride w:ilvl="6">
      <w:startOverride w:val="1"/>
      <w:lvl w:ilvl="6" w:tplc="C1F682AE">
        <w:start w:val="1"/>
        <w:numFmt w:val="decimal"/>
        <w:lvlText w:val="%7."/>
        <w:lvlJc w:val="right"/>
        <w:pPr>
          <w:ind w:left="3500" w:hanging="180"/>
        </w:pPr>
      </w:lvl>
    </w:lvlOverride>
    <w:lvlOverride w:ilvl="7">
      <w:startOverride w:val="1"/>
      <w:lvl w:ilvl="7" w:tplc="D3F88F56">
        <w:start w:val="1"/>
        <w:numFmt w:val="decimal"/>
        <w:lvlText w:val="%8."/>
        <w:lvlJc w:val="right"/>
        <w:pPr>
          <w:ind w:left="4000" w:hanging="180"/>
        </w:pPr>
      </w:lvl>
    </w:lvlOverride>
    <w:lvlOverride w:ilvl="8">
      <w:startOverride w:val="1"/>
      <w:lvl w:ilvl="8" w:tplc="629EBEE8">
        <w:start w:val="1"/>
        <w:numFmt w:val="decimal"/>
        <w:lvlText w:val="%9."/>
        <w:lvlJc w:val="right"/>
        <w:pPr>
          <w:ind w:left="4500" w:hanging="180"/>
        </w:pPr>
      </w:lvl>
    </w:lvlOverride>
  </w:num>
  <w:num w:numId="94" w16cid:durableId="1536622945">
    <w:abstractNumId w:val="28"/>
    <w:lvlOverride w:ilvl="0">
      <w:startOverride w:val="1"/>
      <w:lvl w:ilvl="0" w:tplc="5EE6329C">
        <w:start w:val="1"/>
        <w:numFmt w:val="bullet"/>
        <w:lvlText w:val=""/>
        <w:lvlJc w:val="right"/>
        <w:pPr>
          <w:ind w:left="500" w:hanging="180"/>
        </w:pPr>
        <w:rPr>
          <w:rFonts w:ascii="Symbol" w:hAnsi="Symbol" w:hint="default"/>
        </w:rPr>
      </w:lvl>
    </w:lvlOverride>
    <w:lvlOverride w:ilvl="1">
      <w:startOverride w:val="1"/>
      <w:lvl w:ilvl="1" w:tplc="0B4E10B8">
        <w:start w:val="1"/>
        <w:numFmt w:val="decimal"/>
        <w:lvlText w:val="%2."/>
        <w:lvlJc w:val="right"/>
        <w:pPr>
          <w:ind w:left="1000" w:hanging="180"/>
        </w:pPr>
      </w:lvl>
    </w:lvlOverride>
    <w:lvlOverride w:ilvl="2">
      <w:startOverride w:val="1"/>
      <w:lvl w:ilvl="2" w:tplc="A3FA551E">
        <w:start w:val="1"/>
        <w:numFmt w:val="decimal"/>
        <w:lvlText w:val="%3."/>
        <w:lvlJc w:val="right"/>
        <w:pPr>
          <w:ind w:left="1500" w:hanging="180"/>
        </w:pPr>
      </w:lvl>
    </w:lvlOverride>
    <w:lvlOverride w:ilvl="3">
      <w:startOverride w:val="1"/>
      <w:lvl w:ilvl="3" w:tplc="F2E6070A">
        <w:start w:val="1"/>
        <w:numFmt w:val="decimal"/>
        <w:lvlText w:val="%4."/>
        <w:lvlJc w:val="right"/>
        <w:pPr>
          <w:ind w:left="2000" w:hanging="180"/>
        </w:pPr>
      </w:lvl>
    </w:lvlOverride>
    <w:lvlOverride w:ilvl="4">
      <w:startOverride w:val="1"/>
      <w:lvl w:ilvl="4" w:tplc="5782A938">
        <w:start w:val="1"/>
        <w:numFmt w:val="decimal"/>
        <w:lvlText w:val="%5."/>
        <w:lvlJc w:val="right"/>
        <w:pPr>
          <w:ind w:left="2500" w:hanging="180"/>
        </w:pPr>
      </w:lvl>
    </w:lvlOverride>
    <w:lvlOverride w:ilvl="5">
      <w:startOverride w:val="1"/>
      <w:lvl w:ilvl="5" w:tplc="38BE2318">
        <w:start w:val="1"/>
        <w:numFmt w:val="decimal"/>
        <w:lvlText w:val="%6."/>
        <w:lvlJc w:val="right"/>
        <w:pPr>
          <w:ind w:left="3000" w:hanging="180"/>
        </w:pPr>
      </w:lvl>
    </w:lvlOverride>
    <w:lvlOverride w:ilvl="6">
      <w:startOverride w:val="1"/>
      <w:lvl w:ilvl="6" w:tplc="C1F682AE">
        <w:start w:val="1"/>
        <w:numFmt w:val="decimal"/>
        <w:lvlText w:val="%7."/>
        <w:lvlJc w:val="right"/>
        <w:pPr>
          <w:ind w:left="3500" w:hanging="180"/>
        </w:pPr>
      </w:lvl>
    </w:lvlOverride>
    <w:lvlOverride w:ilvl="7">
      <w:startOverride w:val="1"/>
      <w:lvl w:ilvl="7" w:tplc="D3F88F56">
        <w:start w:val="1"/>
        <w:numFmt w:val="decimal"/>
        <w:lvlText w:val="%8."/>
        <w:lvlJc w:val="right"/>
        <w:pPr>
          <w:ind w:left="4000" w:hanging="180"/>
        </w:pPr>
      </w:lvl>
    </w:lvlOverride>
    <w:lvlOverride w:ilvl="8">
      <w:startOverride w:val="1"/>
      <w:lvl w:ilvl="8" w:tplc="629EBEE8">
        <w:start w:val="1"/>
        <w:numFmt w:val="decimal"/>
        <w:lvlText w:val="%9."/>
        <w:lvlJc w:val="right"/>
        <w:pPr>
          <w:ind w:left="4500" w:hanging="180"/>
        </w:pPr>
      </w:lvl>
    </w:lvlOverride>
  </w:num>
  <w:num w:numId="95" w16cid:durableId="2105613872">
    <w:abstractNumId w:val="10"/>
    <w:lvlOverride w:ilvl="0">
      <w:startOverride w:val="1"/>
      <w:lvl w:ilvl="0" w:tplc="09267330">
        <w:start w:val="1"/>
        <w:numFmt w:val="bullet"/>
        <w:lvlText w:val=""/>
        <w:lvlJc w:val="right"/>
        <w:pPr>
          <w:ind w:left="500" w:hanging="180"/>
        </w:pPr>
        <w:rPr>
          <w:rFonts w:ascii="Symbol" w:hAnsi="Symbol" w:hint="default"/>
        </w:rPr>
      </w:lvl>
    </w:lvlOverride>
    <w:lvlOverride w:ilvl="1">
      <w:startOverride w:val="1"/>
      <w:lvl w:ilvl="1" w:tplc="678617C0">
        <w:start w:val="1"/>
        <w:numFmt w:val="decimal"/>
        <w:lvlText w:val="%2."/>
        <w:lvlJc w:val="right"/>
        <w:pPr>
          <w:ind w:left="1000" w:hanging="180"/>
        </w:pPr>
      </w:lvl>
    </w:lvlOverride>
    <w:lvlOverride w:ilvl="2">
      <w:startOverride w:val="1"/>
      <w:lvl w:ilvl="2" w:tplc="86BA27C0">
        <w:start w:val="1"/>
        <w:numFmt w:val="decimal"/>
        <w:lvlText w:val="%3."/>
        <w:lvlJc w:val="right"/>
        <w:pPr>
          <w:ind w:left="1500" w:hanging="180"/>
        </w:pPr>
      </w:lvl>
    </w:lvlOverride>
    <w:lvlOverride w:ilvl="3">
      <w:startOverride w:val="1"/>
      <w:lvl w:ilvl="3" w:tplc="6714D39C">
        <w:start w:val="1"/>
        <w:numFmt w:val="decimal"/>
        <w:lvlText w:val="%4."/>
        <w:lvlJc w:val="right"/>
        <w:pPr>
          <w:ind w:left="2000" w:hanging="180"/>
        </w:pPr>
      </w:lvl>
    </w:lvlOverride>
    <w:lvlOverride w:ilvl="4">
      <w:startOverride w:val="1"/>
      <w:lvl w:ilvl="4" w:tplc="981CEF16">
        <w:start w:val="1"/>
        <w:numFmt w:val="decimal"/>
        <w:lvlText w:val="%5."/>
        <w:lvlJc w:val="right"/>
        <w:pPr>
          <w:ind w:left="2500" w:hanging="180"/>
        </w:pPr>
      </w:lvl>
    </w:lvlOverride>
    <w:lvlOverride w:ilvl="5">
      <w:startOverride w:val="1"/>
      <w:lvl w:ilvl="5" w:tplc="A43047B4">
        <w:start w:val="1"/>
        <w:numFmt w:val="decimal"/>
        <w:lvlText w:val="%6."/>
        <w:lvlJc w:val="right"/>
        <w:pPr>
          <w:ind w:left="3000" w:hanging="180"/>
        </w:pPr>
      </w:lvl>
    </w:lvlOverride>
    <w:lvlOverride w:ilvl="6">
      <w:startOverride w:val="1"/>
      <w:lvl w:ilvl="6" w:tplc="24924CBC">
        <w:start w:val="1"/>
        <w:numFmt w:val="decimal"/>
        <w:lvlText w:val="%7."/>
        <w:lvlJc w:val="right"/>
        <w:pPr>
          <w:ind w:left="3500" w:hanging="180"/>
        </w:pPr>
      </w:lvl>
    </w:lvlOverride>
    <w:lvlOverride w:ilvl="7">
      <w:startOverride w:val="1"/>
      <w:lvl w:ilvl="7" w:tplc="399205D2">
        <w:start w:val="1"/>
        <w:numFmt w:val="decimal"/>
        <w:lvlText w:val="%8."/>
        <w:lvlJc w:val="right"/>
        <w:pPr>
          <w:ind w:left="4000" w:hanging="180"/>
        </w:pPr>
      </w:lvl>
    </w:lvlOverride>
    <w:lvlOverride w:ilvl="8">
      <w:startOverride w:val="1"/>
      <w:lvl w:ilvl="8" w:tplc="A5E23CB4">
        <w:start w:val="1"/>
        <w:numFmt w:val="decimal"/>
        <w:lvlText w:val="%9."/>
        <w:lvlJc w:val="right"/>
        <w:pPr>
          <w:ind w:left="4500" w:hanging="180"/>
        </w:pPr>
      </w:lvl>
    </w:lvlOverride>
  </w:num>
  <w:num w:numId="96" w16cid:durableId="1118140679">
    <w:abstractNumId w:val="10"/>
    <w:lvlOverride w:ilvl="0">
      <w:startOverride w:val="1"/>
      <w:lvl w:ilvl="0" w:tplc="09267330">
        <w:start w:val="1"/>
        <w:numFmt w:val="bullet"/>
        <w:lvlText w:val=""/>
        <w:lvlJc w:val="right"/>
        <w:pPr>
          <w:ind w:left="500" w:hanging="180"/>
        </w:pPr>
        <w:rPr>
          <w:rFonts w:ascii="Symbol" w:hAnsi="Symbol" w:hint="default"/>
        </w:rPr>
      </w:lvl>
    </w:lvlOverride>
    <w:lvlOverride w:ilvl="1">
      <w:startOverride w:val="1"/>
      <w:lvl w:ilvl="1" w:tplc="678617C0">
        <w:start w:val="1"/>
        <w:numFmt w:val="decimal"/>
        <w:lvlText w:val="%2."/>
        <w:lvlJc w:val="right"/>
        <w:pPr>
          <w:ind w:left="1000" w:hanging="180"/>
        </w:pPr>
      </w:lvl>
    </w:lvlOverride>
    <w:lvlOverride w:ilvl="2">
      <w:startOverride w:val="1"/>
      <w:lvl w:ilvl="2" w:tplc="86BA27C0">
        <w:start w:val="1"/>
        <w:numFmt w:val="decimal"/>
        <w:lvlText w:val="%3."/>
        <w:lvlJc w:val="right"/>
        <w:pPr>
          <w:ind w:left="1500" w:hanging="180"/>
        </w:pPr>
      </w:lvl>
    </w:lvlOverride>
    <w:lvlOverride w:ilvl="3">
      <w:startOverride w:val="1"/>
      <w:lvl w:ilvl="3" w:tplc="6714D39C">
        <w:start w:val="1"/>
        <w:numFmt w:val="decimal"/>
        <w:lvlText w:val="%4."/>
        <w:lvlJc w:val="right"/>
        <w:pPr>
          <w:ind w:left="2000" w:hanging="180"/>
        </w:pPr>
      </w:lvl>
    </w:lvlOverride>
    <w:lvlOverride w:ilvl="4">
      <w:startOverride w:val="1"/>
      <w:lvl w:ilvl="4" w:tplc="981CEF16">
        <w:start w:val="1"/>
        <w:numFmt w:val="decimal"/>
        <w:lvlText w:val="%5."/>
        <w:lvlJc w:val="right"/>
        <w:pPr>
          <w:ind w:left="2500" w:hanging="180"/>
        </w:pPr>
      </w:lvl>
    </w:lvlOverride>
    <w:lvlOverride w:ilvl="5">
      <w:startOverride w:val="1"/>
      <w:lvl w:ilvl="5" w:tplc="A43047B4">
        <w:start w:val="1"/>
        <w:numFmt w:val="decimal"/>
        <w:lvlText w:val="%6."/>
        <w:lvlJc w:val="right"/>
        <w:pPr>
          <w:ind w:left="3000" w:hanging="180"/>
        </w:pPr>
      </w:lvl>
    </w:lvlOverride>
    <w:lvlOverride w:ilvl="6">
      <w:startOverride w:val="1"/>
      <w:lvl w:ilvl="6" w:tplc="24924CBC">
        <w:start w:val="1"/>
        <w:numFmt w:val="decimal"/>
        <w:lvlText w:val="%7."/>
        <w:lvlJc w:val="right"/>
        <w:pPr>
          <w:ind w:left="3500" w:hanging="180"/>
        </w:pPr>
      </w:lvl>
    </w:lvlOverride>
    <w:lvlOverride w:ilvl="7">
      <w:startOverride w:val="1"/>
      <w:lvl w:ilvl="7" w:tplc="399205D2">
        <w:start w:val="1"/>
        <w:numFmt w:val="decimal"/>
        <w:lvlText w:val="%8."/>
        <w:lvlJc w:val="right"/>
        <w:pPr>
          <w:ind w:left="4000" w:hanging="180"/>
        </w:pPr>
      </w:lvl>
    </w:lvlOverride>
    <w:lvlOverride w:ilvl="8">
      <w:startOverride w:val="1"/>
      <w:lvl w:ilvl="8" w:tplc="A5E23CB4">
        <w:start w:val="1"/>
        <w:numFmt w:val="decimal"/>
        <w:lvlText w:val="%9."/>
        <w:lvlJc w:val="right"/>
        <w:pPr>
          <w:ind w:left="4500" w:hanging="180"/>
        </w:pPr>
      </w:lvl>
    </w:lvlOverride>
  </w:num>
  <w:num w:numId="97" w16cid:durableId="1332023239">
    <w:abstractNumId w:val="10"/>
    <w:lvlOverride w:ilvl="0">
      <w:startOverride w:val="1"/>
      <w:lvl w:ilvl="0" w:tplc="09267330">
        <w:start w:val="1"/>
        <w:numFmt w:val="bullet"/>
        <w:lvlText w:val=""/>
        <w:lvlJc w:val="right"/>
        <w:pPr>
          <w:ind w:left="500" w:hanging="180"/>
        </w:pPr>
        <w:rPr>
          <w:rFonts w:ascii="Symbol" w:hAnsi="Symbol" w:hint="default"/>
        </w:rPr>
      </w:lvl>
    </w:lvlOverride>
    <w:lvlOverride w:ilvl="1">
      <w:startOverride w:val="1"/>
      <w:lvl w:ilvl="1" w:tplc="678617C0">
        <w:start w:val="1"/>
        <w:numFmt w:val="decimal"/>
        <w:lvlText w:val="%2."/>
        <w:lvlJc w:val="right"/>
        <w:pPr>
          <w:ind w:left="1000" w:hanging="180"/>
        </w:pPr>
      </w:lvl>
    </w:lvlOverride>
    <w:lvlOverride w:ilvl="2">
      <w:startOverride w:val="1"/>
      <w:lvl w:ilvl="2" w:tplc="86BA27C0">
        <w:start w:val="1"/>
        <w:numFmt w:val="decimal"/>
        <w:lvlText w:val="%3."/>
        <w:lvlJc w:val="right"/>
        <w:pPr>
          <w:ind w:left="1500" w:hanging="180"/>
        </w:pPr>
      </w:lvl>
    </w:lvlOverride>
    <w:lvlOverride w:ilvl="3">
      <w:startOverride w:val="1"/>
      <w:lvl w:ilvl="3" w:tplc="6714D39C">
        <w:start w:val="1"/>
        <w:numFmt w:val="decimal"/>
        <w:lvlText w:val="%4."/>
        <w:lvlJc w:val="right"/>
        <w:pPr>
          <w:ind w:left="2000" w:hanging="180"/>
        </w:pPr>
      </w:lvl>
    </w:lvlOverride>
    <w:lvlOverride w:ilvl="4">
      <w:startOverride w:val="1"/>
      <w:lvl w:ilvl="4" w:tplc="981CEF16">
        <w:start w:val="1"/>
        <w:numFmt w:val="decimal"/>
        <w:lvlText w:val="%5."/>
        <w:lvlJc w:val="right"/>
        <w:pPr>
          <w:ind w:left="2500" w:hanging="180"/>
        </w:pPr>
      </w:lvl>
    </w:lvlOverride>
    <w:lvlOverride w:ilvl="5">
      <w:startOverride w:val="1"/>
      <w:lvl w:ilvl="5" w:tplc="A43047B4">
        <w:start w:val="1"/>
        <w:numFmt w:val="decimal"/>
        <w:lvlText w:val="%6."/>
        <w:lvlJc w:val="right"/>
        <w:pPr>
          <w:ind w:left="3000" w:hanging="180"/>
        </w:pPr>
      </w:lvl>
    </w:lvlOverride>
    <w:lvlOverride w:ilvl="6">
      <w:startOverride w:val="1"/>
      <w:lvl w:ilvl="6" w:tplc="24924CBC">
        <w:start w:val="1"/>
        <w:numFmt w:val="decimal"/>
        <w:lvlText w:val="%7."/>
        <w:lvlJc w:val="right"/>
        <w:pPr>
          <w:ind w:left="3500" w:hanging="180"/>
        </w:pPr>
      </w:lvl>
    </w:lvlOverride>
    <w:lvlOverride w:ilvl="7">
      <w:startOverride w:val="1"/>
      <w:lvl w:ilvl="7" w:tplc="399205D2">
        <w:start w:val="1"/>
        <w:numFmt w:val="decimal"/>
        <w:lvlText w:val="%8."/>
        <w:lvlJc w:val="right"/>
        <w:pPr>
          <w:ind w:left="4000" w:hanging="180"/>
        </w:pPr>
      </w:lvl>
    </w:lvlOverride>
    <w:lvlOverride w:ilvl="8">
      <w:startOverride w:val="1"/>
      <w:lvl w:ilvl="8" w:tplc="A5E23CB4">
        <w:start w:val="1"/>
        <w:numFmt w:val="decimal"/>
        <w:lvlText w:val="%9."/>
        <w:lvlJc w:val="right"/>
        <w:pPr>
          <w:ind w:left="4500" w:hanging="180"/>
        </w:pPr>
      </w:lvl>
    </w:lvlOverride>
  </w:num>
  <w:num w:numId="98" w16cid:durableId="614413207">
    <w:abstractNumId w:val="72"/>
    <w:lvlOverride w:ilvl="0">
      <w:startOverride w:val="1"/>
      <w:lvl w:ilvl="0" w:tplc="C4CAFBA6">
        <w:start w:val="1"/>
        <w:numFmt w:val="bullet"/>
        <w:lvlText w:val=""/>
        <w:lvlJc w:val="right"/>
        <w:pPr>
          <w:ind w:left="500" w:hanging="180"/>
        </w:pPr>
        <w:rPr>
          <w:rFonts w:ascii="Symbol" w:hAnsi="Symbol" w:hint="default"/>
        </w:rPr>
      </w:lvl>
    </w:lvlOverride>
    <w:lvlOverride w:ilvl="1">
      <w:startOverride w:val="1"/>
      <w:lvl w:ilvl="1" w:tplc="DC763968">
        <w:start w:val="1"/>
        <w:numFmt w:val="decimal"/>
        <w:lvlText w:val="%2."/>
        <w:lvlJc w:val="right"/>
        <w:pPr>
          <w:ind w:left="1000" w:hanging="180"/>
        </w:pPr>
      </w:lvl>
    </w:lvlOverride>
    <w:lvlOverride w:ilvl="2">
      <w:startOverride w:val="1"/>
      <w:lvl w:ilvl="2" w:tplc="D8AA771C">
        <w:start w:val="1"/>
        <w:numFmt w:val="decimal"/>
        <w:lvlText w:val="%3."/>
        <w:lvlJc w:val="right"/>
        <w:pPr>
          <w:ind w:left="1500" w:hanging="180"/>
        </w:pPr>
      </w:lvl>
    </w:lvlOverride>
    <w:lvlOverride w:ilvl="3">
      <w:startOverride w:val="1"/>
      <w:lvl w:ilvl="3" w:tplc="CD3403FA">
        <w:start w:val="1"/>
        <w:numFmt w:val="decimal"/>
        <w:lvlText w:val="%4."/>
        <w:lvlJc w:val="right"/>
        <w:pPr>
          <w:ind w:left="2000" w:hanging="180"/>
        </w:pPr>
      </w:lvl>
    </w:lvlOverride>
    <w:lvlOverride w:ilvl="4">
      <w:startOverride w:val="1"/>
      <w:lvl w:ilvl="4" w:tplc="F154B4AE">
        <w:start w:val="1"/>
        <w:numFmt w:val="decimal"/>
        <w:lvlText w:val="%5."/>
        <w:lvlJc w:val="right"/>
        <w:pPr>
          <w:ind w:left="2500" w:hanging="180"/>
        </w:pPr>
      </w:lvl>
    </w:lvlOverride>
    <w:lvlOverride w:ilvl="5">
      <w:startOverride w:val="1"/>
      <w:lvl w:ilvl="5" w:tplc="13502076">
        <w:start w:val="1"/>
        <w:numFmt w:val="decimal"/>
        <w:lvlText w:val="%6."/>
        <w:lvlJc w:val="right"/>
        <w:pPr>
          <w:ind w:left="3000" w:hanging="180"/>
        </w:pPr>
      </w:lvl>
    </w:lvlOverride>
    <w:lvlOverride w:ilvl="6">
      <w:startOverride w:val="1"/>
      <w:lvl w:ilvl="6" w:tplc="A1D60CAA">
        <w:start w:val="1"/>
        <w:numFmt w:val="decimal"/>
        <w:lvlText w:val="%7."/>
        <w:lvlJc w:val="right"/>
        <w:pPr>
          <w:ind w:left="3500" w:hanging="180"/>
        </w:pPr>
      </w:lvl>
    </w:lvlOverride>
    <w:lvlOverride w:ilvl="7">
      <w:startOverride w:val="1"/>
      <w:lvl w:ilvl="7" w:tplc="4122489E">
        <w:start w:val="1"/>
        <w:numFmt w:val="decimal"/>
        <w:lvlText w:val="%8."/>
        <w:lvlJc w:val="right"/>
        <w:pPr>
          <w:ind w:left="4000" w:hanging="180"/>
        </w:pPr>
      </w:lvl>
    </w:lvlOverride>
    <w:lvlOverride w:ilvl="8">
      <w:startOverride w:val="1"/>
      <w:lvl w:ilvl="8" w:tplc="54C220A2">
        <w:start w:val="1"/>
        <w:numFmt w:val="decimal"/>
        <w:lvlText w:val="%9."/>
        <w:lvlJc w:val="right"/>
        <w:pPr>
          <w:ind w:left="4500" w:hanging="180"/>
        </w:pPr>
      </w:lvl>
    </w:lvlOverride>
  </w:num>
  <w:num w:numId="99" w16cid:durableId="2073772987">
    <w:abstractNumId w:val="28"/>
    <w:lvlOverride w:ilvl="0">
      <w:startOverride w:val="1"/>
      <w:lvl w:ilvl="0" w:tplc="5EE6329C">
        <w:start w:val="1"/>
        <w:numFmt w:val="bullet"/>
        <w:lvlText w:val=""/>
        <w:lvlJc w:val="right"/>
        <w:pPr>
          <w:ind w:left="500" w:hanging="180"/>
        </w:pPr>
        <w:rPr>
          <w:rFonts w:ascii="Symbol" w:hAnsi="Symbol" w:hint="default"/>
        </w:rPr>
      </w:lvl>
    </w:lvlOverride>
    <w:lvlOverride w:ilvl="1">
      <w:startOverride w:val="1"/>
      <w:lvl w:ilvl="1" w:tplc="0B4E10B8">
        <w:start w:val="1"/>
        <w:numFmt w:val="decimal"/>
        <w:lvlText w:val="%2."/>
        <w:lvlJc w:val="right"/>
        <w:pPr>
          <w:ind w:left="1000" w:hanging="180"/>
        </w:pPr>
      </w:lvl>
    </w:lvlOverride>
    <w:lvlOverride w:ilvl="2">
      <w:startOverride w:val="1"/>
      <w:lvl w:ilvl="2" w:tplc="A3FA551E">
        <w:start w:val="1"/>
        <w:numFmt w:val="decimal"/>
        <w:lvlText w:val="%3."/>
        <w:lvlJc w:val="right"/>
        <w:pPr>
          <w:ind w:left="1500" w:hanging="180"/>
        </w:pPr>
      </w:lvl>
    </w:lvlOverride>
    <w:lvlOverride w:ilvl="3">
      <w:startOverride w:val="1"/>
      <w:lvl w:ilvl="3" w:tplc="F2E6070A">
        <w:start w:val="1"/>
        <w:numFmt w:val="decimal"/>
        <w:lvlText w:val="%4."/>
        <w:lvlJc w:val="right"/>
        <w:pPr>
          <w:ind w:left="2000" w:hanging="180"/>
        </w:pPr>
      </w:lvl>
    </w:lvlOverride>
    <w:lvlOverride w:ilvl="4">
      <w:startOverride w:val="1"/>
      <w:lvl w:ilvl="4" w:tplc="5782A938">
        <w:start w:val="1"/>
        <w:numFmt w:val="decimal"/>
        <w:lvlText w:val="%5."/>
        <w:lvlJc w:val="right"/>
        <w:pPr>
          <w:ind w:left="2500" w:hanging="180"/>
        </w:pPr>
      </w:lvl>
    </w:lvlOverride>
    <w:lvlOverride w:ilvl="5">
      <w:startOverride w:val="1"/>
      <w:lvl w:ilvl="5" w:tplc="38BE2318">
        <w:start w:val="1"/>
        <w:numFmt w:val="decimal"/>
        <w:lvlText w:val="%6."/>
        <w:lvlJc w:val="right"/>
        <w:pPr>
          <w:ind w:left="3000" w:hanging="180"/>
        </w:pPr>
      </w:lvl>
    </w:lvlOverride>
    <w:lvlOverride w:ilvl="6">
      <w:startOverride w:val="1"/>
      <w:lvl w:ilvl="6" w:tplc="C1F682AE">
        <w:start w:val="1"/>
        <w:numFmt w:val="decimal"/>
        <w:lvlText w:val="%7."/>
        <w:lvlJc w:val="right"/>
        <w:pPr>
          <w:ind w:left="3500" w:hanging="180"/>
        </w:pPr>
      </w:lvl>
    </w:lvlOverride>
    <w:lvlOverride w:ilvl="7">
      <w:startOverride w:val="1"/>
      <w:lvl w:ilvl="7" w:tplc="D3F88F56">
        <w:start w:val="1"/>
        <w:numFmt w:val="decimal"/>
        <w:lvlText w:val="%8."/>
        <w:lvlJc w:val="right"/>
        <w:pPr>
          <w:ind w:left="4000" w:hanging="180"/>
        </w:pPr>
      </w:lvl>
    </w:lvlOverride>
    <w:lvlOverride w:ilvl="8">
      <w:startOverride w:val="1"/>
      <w:lvl w:ilvl="8" w:tplc="629EBEE8">
        <w:start w:val="1"/>
        <w:numFmt w:val="decimal"/>
        <w:lvlText w:val="%9."/>
        <w:lvlJc w:val="right"/>
        <w:pPr>
          <w:ind w:left="4500" w:hanging="180"/>
        </w:pPr>
      </w:lvl>
    </w:lvlOverride>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A40C6D"/>
    <w:rsid w:val="00001181"/>
    <w:rsid w:val="000034CF"/>
    <w:rsid w:val="00011E42"/>
    <w:rsid w:val="0001349B"/>
    <w:rsid w:val="00020263"/>
    <w:rsid w:val="000265C8"/>
    <w:rsid w:val="00032776"/>
    <w:rsid w:val="000337A9"/>
    <w:rsid w:val="000472E5"/>
    <w:rsid w:val="00051287"/>
    <w:rsid w:val="00056138"/>
    <w:rsid w:val="0005773C"/>
    <w:rsid w:val="00061BF5"/>
    <w:rsid w:val="0006290B"/>
    <w:rsid w:val="00090261"/>
    <w:rsid w:val="00096805"/>
    <w:rsid w:val="000A0D11"/>
    <w:rsid w:val="000A3060"/>
    <w:rsid w:val="000C3EDA"/>
    <w:rsid w:val="000E2E43"/>
    <w:rsid w:val="000E6F9C"/>
    <w:rsid w:val="000F7AA1"/>
    <w:rsid w:val="001069DC"/>
    <w:rsid w:val="00112F79"/>
    <w:rsid w:val="00121C60"/>
    <w:rsid w:val="00132830"/>
    <w:rsid w:val="00157D88"/>
    <w:rsid w:val="00176D31"/>
    <w:rsid w:val="00183F41"/>
    <w:rsid w:val="00190023"/>
    <w:rsid w:val="0019391F"/>
    <w:rsid w:val="00195576"/>
    <w:rsid w:val="001A2AE5"/>
    <w:rsid w:val="001A53A7"/>
    <w:rsid w:val="001A720F"/>
    <w:rsid w:val="001A7A4B"/>
    <w:rsid w:val="001B2F0A"/>
    <w:rsid w:val="001E22B7"/>
    <w:rsid w:val="001F0F35"/>
    <w:rsid w:val="001F3DED"/>
    <w:rsid w:val="00213A33"/>
    <w:rsid w:val="002357B2"/>
    <w:rsid w:val="002363FC"/>
    <w:rsid w:val="00240042"/>
    <w:rsid w:val="00254CB4"/>
    <w:rsid w:val="0026474F"/>
    <w:rsid w:val="00265C09"/>
    <w:rsid w:val="00266B0A"/>
    <w:rsid w:val="0027193B"/>
    <w:rsid w:val="0027281D"/>
    <w:rsid w:val="00294CCE"/>
    <w:rsid w:val="002970C3"/>
    <w:rsid w:val="00297831"/>
    <w:rsid w:val="002A36C4"/>
    <w:rsid w:val="002B1796"/>
    <w:rsid w:val="002C4A42"/>
    <w:rsid w:val="002D01E4"/>
    <w:rsid w:val="002E101D"/>
    <w:rsid w:val="002E590E"/>
    <w:rsid w:val="00306A70"/>
    <w:rsid w:val="003210DA"/>
    <w:rsid w:val="00323562"/>
    <w:rsid w:val="00325BB4"/>
    <w:rsid w:val="003436D6"/>
    <w:rsid w:val="00345D8F"/>
    <w:rsid w:val="003616D2"/>
    <w:rsid w:val="00366DB5"/>
    <w:rsid w:val="003672C0"/>
    <w:rsid w:val="003721F3"/>
    <w:rsid w:val="00394899"/>
    <w:rsid w:val="003D423F"/>
    <w:rsid w:val="003F1E43"/>
    <w:rsid w:val="003F2E85"/>
    <w:rsid w:val="003F3570"/>
    <w:rsid w:val="0040333A"/>
    <w:rsid w:val="00404C3C"/>
    <w:rsid w:val="0041775C"/>
    <w:rsid w:val="00420EC0"/>
    <w:rsid w:val="004259BF"/>
    <w:rsid w:val="00426191"/>
    <w:rsid w:val="004274E3"/>
    <w:rsid w:val="0043195C"/>
    <w:rsid w:val="00454E26"/>
    <w:rsid w:val="00466E17"/>
    <w:rsid w:val="00472210"/>
    <w:rsid w:val="00472A70"/>
    <w:rsid w:val="004749B4"/>
    <w:rsid w:val="004800FB"/>
    <w:rsid w:val="004803B4"/>
    <w:rsid w:val="004C3DC7"/>
    <w:rsid w:val="004D37B6"/>
    <w:rsid w:val="004D6F2D"/>
    <w:rsid w:val="004E0E4B"/>
    <w:rsid w:val="004E599D"/>
    <w:rsid w:val="004F30A9"/>
    <w:rsid w:val="00500A02"/>
    <w:rsid w:val="00510439"/>
    <w:rsid w:val="0051453A"/>
    <w:rsid w:val="00524F84"/>
    <w:rsid w:val="00534BAC"/>
    <w:rsid w:val="00535EE1"/>
    <w:rsid w:val="00541591"/>
    <w:rsid w:val="00541EE4"/>
    <w:rsid w:val="005463E1"/>
    <w:rsid w:val="00551883"/>
    <w:rsid w:val="0055747C"/>
    <w:rsid w:val="00567C61"/>
    <w:rsid w:val="005758DC"/>
    <w:rsid w:val="00576E23"/>
    <w:rsid w:val="00580201"/>
    <w:rsid w:val="00593915"/>
    <w:rsid w:val="005C493A"/>
    <w:rsid w:val="005E24C6"/>
    <w:rsid w:val="005E6C48"/>
    <w:rsid w:val="005F38F0"/>
    <w:rsid w:val="005F7858"/>
    <w:rsid w:val="005F7FF2"/>
    <w:rsid w:val="00610A77"/>
    <w:rsid w:val="00611CD2"/>
    <w:rsid w:val="006163E7"/>
    <w:rsid w:val="00617338"/>
    <w:rsid w:val="0062047A"/>
    <w:rsid w:val="006305AB"/>
    <w:rsid w:val="00634E7D"/>
    <w:rsid w:val="006414B6"/>
    <w:rsid w:val="00645F70"/>
    <w:rsid w:val="006500BA"/>
    <w:rsid w:val="00650BAD"/>
    <w:rsid w:val="006623AF"/>
    <w:rsid w:val="00672AE1"/>
    <w:rsid w:val="00675CF6"/>
    <w:rsid w:val="00682D86"/>
    <w:rsid w:val="006A2AD8"/>
    <w:rsid w:val="006A5321"/>
    <w:rsid w:val="006A5C79"/>
    <w:rsid w:val="006A6038"/>
    <w:rsid w:val="006B457A"/>
    <w:rsid w:val="006B7298"/>
    <w:rsid w:val="006D1E83"/>
    <w:rsid w:val="006D2B6C"/>
    <w:rsid w:val="006D3B57"/>
    <w:rsid w:val="006E139D"/>
    <w:rsid w:val="006E622C"/>
    <w:rsid w:val="00714AD0"/>
    <w:rsid w:val="00717534"/>
    <w:rsid w:val="00721A97"/>
    <w:rsid w:val="0075539F"/>
    <w:rsid w:val="00766BAD"/>
    <w:rsid w:val="007723CB"/>
    <w:rsid w:val="007965BB"/>
    <w:rsid w:val="007A4C10"/>
    <w:rsid w:val="007C4082"/>
    <w:rsid w:val="007D25FE"/>
    <w:rsid w:val="007D34AE"/>
    <w:rsid w:val="007F2102"/>
    <w:rsid w:val="007F32E8"/>
    <w:rsid w:val="007F3AAB"/>
    <w:rsid w:val="008110DE"/>
    <w:rsid w:val="00813945"/>
    <w:rsid w:val="0082499D"/>
    <w:rsid w:val="008425FA"/>
    <w:rsid w:val="00851D3F"/>
    <w:rsid w:val="0087138C"/>
    <w:rsid w:val="008B19F8"/>
    <w:rsid w:val="008B506F"/>
    <w:rsid w:val="008B6AAB"/>
    <w:rsid w:val="008C33C1"/>
    <w:rsid w:val="008D2894"/>
    <w:rsid w:val="008D2C3A"/>
    <w:rsid w:val="00913837"/>
    <w:rsid w:val="00927C5C"/>
    <w:rsid w:val="00942474"/>
    <w:rsid w:val="00942B6D"/>
    <w:rsid w:val="009449AD"/>
    <w:rsid w:val="00953FBF"/>
    <w:rsid w:val="00962170"/>
    <w:rsid w:val="0096460C"/>
    <w:rsid w:val="00971EEB"/>
    <w:rsid w:val="0097614A"/>
    <w:rsid w:val="009B0D2E"/>
    <w:rsid w:val="009B4EF5"/>
    <w:rsid w:val="009C4EFF"/>
    <w:rsid w:val="009E7A2D"/>
    <w:rsid w:val="009F18BE"/>
    <w:rsid w:val="009F3DD6"/>
    <w:rsid w:val="009F7A50"/>
    <w:rsid w:val="00A015D5"/>
    <w:rsid w:val="00A05E78"/>
    <w:rsid w:val="00A37189"/>
    <w:rsid w:val="00A40C6D"/>
    <w:rsid w:val="00A46AB8"/>
    <w:rsid w:val="00A5734C"/>
    <w:rsid w:val="00A86183"/>
    <w:rsid w:val="00A91436"/>
    <w:rsid w:val="00A927B5"/>
    <w:rsid w:val="00AB2808"/>
    <w:rsid w:val="00AB3BCF"/>
    <w:rsid w:val="00AD0403"/>
    <w:rsid w:val="00AD214F"/>
    <w:rsid w:val="00AE4833"/>
    <w:rsid w:val="00AF476C"/>
    <w:rsid w:val="00AF7E37"/>
    <w:rsid w:val="00B01D9A"/>
    <w:rsid w:val="00B10235"/>
    <w:rsid w:val="00B1406F"/>
    <w:rsid w:val="00B220CD"/>
    <w:rsid w:val="00B35199"/>
    <w:rsid w:val="00B62465"/>
    <w:rsid w:val="00B62D01"/>
    <w:rsid w:val="00B65426"/>
    <w:rsid w:val="00B655F3"/>
    <w:rsid w:val="00B6798E"/>
    <w:rsid w:val="00B81F6C"/>
    <w:rsid w:val="00B96AEC"/>
    <w:rsid w:val="00BB16C6"/>
    <w:rsid w:val="00BB728C"/>
    <w:rsid w:val="00BC0CF7"/>
    <w:rsid w:val="00BE47CE"/>
    <w:rsid w:val="00BF5C49"/>
    <w:rsid w:val="00BF605E"/>
    <w:rsid w:val="00C04811"/>
    <w:rsid w:val="00C04D3C"/>
    <w:rsid w:val="00C10A89"/>
    <w:rsid w:val="00C16345"/>
    <w:rsid w:val="00C2371E"/>
    <w:rsid w:val="00C27B3E"/>
    <w:rsid w:val="00C348A1"/>
    <w:rsid w:val="00C4168B"/>
    <w:rsid w:val="00C44AC4"/>
    <w:rsid w:val="00C44B92"/>
    <w:rsid w:val="00C44CA9"/>
    <w:rsid w:val="00C45BAD"/>
    <w:rsid w:val="00C514C4"/>
    <w:rsid w:val="00C61150"/>
    <w:rsid w:val="00C62CF4"/>
    <w:rsid w:val="00CA4B69"/>
    <w:rsid w:val="00CB5BEB"/>
    <w:rsid w:val="00CB78AF"/>
    <w:rsid w:val="00CD4570"/>
    <w:rsid w:val="00CE765E"/>
    <w:rsid w:val="00CF7FC8"/>
    <w:rsid w:val="00D10FD8"/>
    <w:rsid w:val="00D162FC"/>
    <w:rsid w:val="00D177EE"/>
    <w:rsid w:val="00D24F6F"/>
    <w:rsid w:val="00D32964"/>
    <w:rsid w:val="00D367BE"/>
    <w:rsid w:val="00D41228"/>
    <w:rsid w:val="00D60B33"/>
    <w:rsid w:val="00D742DA"/>
    <w:rsid w:val="00D7627B"/>
    <w:rsid w:val="00D7779A"/>
    <w:rsid w:val="00D84031"/>
    <w:rsid w:val="00D9502B"/>
    <w:rsid w:val="00DA1E6F"/>
    <w:rsid w:val="00DA7204"/>
    <w:rsid w:val="00DB0584"/>
    <w:rsid w:val="00DD3AB3"/>
    <w:rsid w:val="00DE7BB9"/>
    <w:rsid w:val="00DF5E1F"/>
    <w:rsid w:val="00E03849"/>
    <w:rsid w:val="00E10C08"/>
    <w:rsid w:val="00E1280F"/>
    <w:rsid w:val="00E16359"/>
    <w:rsid w:val="00E2040E"/>
    <w:rsid w:val="00E305D2"/>
    <w:rsid w:val="00E40095"/>
    <w:rsid w:val="00E50FCC"/>
    <w:rsid w:val="00E5322C"/>
    <w:rsid w:val="00E560B7"/>
    <w:rsid w:val="00E607D7"/>
    <w:rsid w:val="00E60F77"/>
    <w:rsid w:val="00E80A71"/>
    <w:rsid w:val="00EB037A"/>
    <w:rsid w:val="00EB7762"/>
    <w:rsid w:val="00EE683F"/>
    <w:rsid w:val="00EF3203"/>
    <w:rsid w:val="00EF390A"/>
    <w:rsid w:val="00EF7F2D"/>
    <w:rsid w:val="00F26F64"/>
    <w:rsid w:val="00F33EAE"/>
    <w:rsid w:val="00F37A29"/>
    <w:rsid w:val="00F40A5D"/>
    <w:rsid w:val="00F54918"/>
    <w:rsid w:val="00FA0D2C"/>
    <w:rsid w:val="00FC6067"/>
    <w:rsid w:val="00FD0419"/>
    <w:rsid w:val="00FE11E4"/>
    <w:rsid w:val="00FE408A"/>
    <w:rsid w:val="00FF0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45347ACD"/>
  <w15:docId w15:val="{CF6EDCA6-6DC2-4781-BD5F-6BBAA09D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5FA"/>
    <w:pPr>
      <w:jc w:val="both"/>
    </w:pPr>
    <w:rPr>
      <w:rFonts w:ascii="Times New Roman" w:hAnsi="Times New Roman"/>
      <w:sz w:val="24"/>
    </w:rPr>
  </w:style>
  <w:style w:type="paragraph" w:styleId="Heading1">
    <w:name w:val="heading 1"/>
    <w:basedOn w:val="Normal"/>
    <w:next w:val="Normal"/>
    <w:link w:val="Heading1Char"/>
    <w:uiPriority w:val="9"/>
    <w:qFormat/>
    <w:rsid w:val="00953FBF"/>
    <w:pPr>
      <w:keepNext/>
      <w:keepLines/>
      <w:spacing w:before="480"/>
      <w:outlineLvl w:val="0"/>
    </w:pPr>
    <w:rPr>
      <w:rFonts w:eastAsiaTheme="majorEastAsia" w:cs="Times New Roman"/>
      <w:b/>
      <w:bCs/>
      <w:sz w:val="28"/>
      <w:szCs w:val="32"/>
    </w:rPr>
  </w:style>
  <w:style w:type="paragraph" w:styleId="Heading2">
    <w:name w:val="heading 2"/>
    <w:basedOn w:val="Normal"/>
    <w:next w:val="Normal"/>
    <w:link w:val="Heading2Char"/>
    <w:uiPriority w:val="9"/>
    <w:unhideWhenUsed/>
    <w:qFormat/>
    <w:rsid w:val="006414B6"/>
    <w:pPr>
      <w:keepNext/>
      <w:keepLines/>
      <w:spacing w:before="200" w:after="0"/>
      <w:outlineLvl w:val="1"/>
    </w:pPr>
    <w:rPr>
      <w:rFonts w:eastAsiaTheme="majorEastAsia" w:cs="Times New Roman"/>
      <w:b/>
      <w:bCs/>
      <w:sz w:val="28"/>
      <w:szCs w:val="28"/>
      <w:lang w:val="fr-BE"/>
    </w:rPr>
  </w:style>
  <w:style w:type="paragraph" w:styleId="Heading3">
    <w:name w:val="heading 3"/>
    <w:basedOn w:val="Normal"/>
    <w:next w:val="Normal"/>
    <w:link w:val="Heading3Char"/>
    <w:uiPriority w:val="9"/>
    <w:unhideWhenUsed/>
    <w:qFormat/>
    <w:rsid w:val="006414B6"/>
    <w:pPr>
      <w:keepNext/>
      <w:keepLines/>
      <w:spacing w:before="200" w:after="0"/>
      <w:outlineLvl w:val="2"/>
    </w:pPr>
    <w:rPr>
      <w:rFonts w:eastAsiaTheme="majorEastAsia" w:cs="Times New Roman"/>
      <w:b/>
      <w:bCs/>
      <w:sz w:val="28"/>
      <w:szCs w:val="28"/>
    </w:rPr>
  </w:style>
  <w:style w:type="paragraph" w:styleId="Heading4">
    <w:name w:val="heading 4"/>
    <w:basedOn w:val="Normal"/>
    <w:next w:val="Normal"/>
    <w:link w:val="Heading4Char"/>
    <w:autoRedefine/>
    <w:uiPriority w:val="9"/>
    <w:unhideWhenUsed/>
    <w:qFormat/>
    <w:rsid w:val="006414B6"/>
    <w:pPr>
      <w:keepNext/>
      <w:keepLines/>
      <w:spacing w:before="200" w:after="0"/>
      <w:outlineLvl w:val="3"/>
    </w:pPr>
    <w:rPr>
      <w:rFonts w:eastAsiaTheme="majorEastAsia" w:cs="Times New Roman"/>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Kind">
    <w:name w:val="TextKind"/>
    <w:basedOn w:val="Normal"/>
    <w:link w:val="TextKindChar"/>
    <w:qFormat/>
    <w:rsid w:val="00121C60"/>
    <w:rPr>
      <w:rFonts w:cs="Times New Roman"/>
      <w:szCs w:val="24"/>
      <w:u w:val="single"/>
    </w:rPr>
  </w:style>
  <w:style w:type="paragraph" w:customStyle="1" w:styleId="TextValue">
    <w:name w:val="TextValue"/>
    <w:basedOn w:val="Normal"/>
    <w:link w:val="TextValueChar"/>
    <w:qFormat/>
    <w:rsid w:val="00121C60"/>
    <w:rPr>
      <w:rFonts w:cs="Times New Roman"/>
      <w:szCs w:val="24"/>
    </w:rPr>
  </w:style>
  <w:style w:type="character" w:customStyle="1" w:styleId="TextKindChar">
    <w:name w:val="TextKind Char"/>
    <w:basedOn w:val="DefaultParagraphFont"/>
    <w:link w:val="TextKind"/>
    <w:rsid w:val="00121C60"/>
    <w:rPr>
      <w:rFonts w:ascii="Times New Roman" w:hAnsi="Times New Roman" w:cs="Times New Roman"/>
      <w:sz w:val="24"/>
      <w:szCs w:val="24"/>
      <w:u w:val="single"/>
    </w:rPr>
  </w:style>
  <w:style w:type="character" w:customStyle="1" w:styleId="TextValueChar">
    <w:name w:val="TextValue Char"/>
    <w:basedOn w:val="DefaultParagraphFont"/>
    <w:link w:val="TextValue"/>
    <w:rsid w:val="00121C60"/>
    <w:rPr>
      <w:rFonts w:ascii="Times New Roman" w:hAnsi="Times New Roman" w:cs="Times New Roman"/>
      <w:sz w:val="24"/>
      <w:szCs w:val="24"/>
    </w:rPr>
  </w:style>
  <w:style w:type="paragraph" w:customStyle="1" w:styleId="CallTitle">
    <w:name w:val="CallTitle"/>
    <w:basedOn w:val="Normal"/>
    <w:link w:val="CallTitleChar"/>
    <w:qFormat/>
    <w:rsid w:val="00121C60"/>
    <w:rPr>
      <w:rFonts w:cs="Times New Roman"/>
      <w:b/>
      <w:sz w:val="28"/>
      <w:szCs w:val="28"/>
      <w:lang w:val="fr-BE"/>
    </w:rPr>
  </w:style>
  <w:style w:type="paragraph" w:customStyle="1" w:styleId="CallIdentifier">
    <w:name w:val="CallIdentifier"/>
    <w:basedOn w:val="Normal"/>
    <w:link w:val="CallIdentifierChar"/>
    <w:qFormat/>
    <w:rsid w:val="00121C60"/>
    <w:pPr>
      <w:jc w:val="right"/>
    </w:pPr>
    <w:rPr>
      <w:rFonts w:cs="Times New Roman"/>
      <w:b/>
      <w:i/>
      <w:szCs w:val="24"/>
    </w:rPr>
  </w:style>
  <w:style w:type="character" w:customStyle="1" w:styleId="CallTitleChar">
    <w:name w:val="CallTitle Char"/>
    <w:basedOn w:val="DefaultParagraphFont"/>
    <w:link w:val="CallTitle"/>
    <w:rsid w:val="00121C60"/>
    <w:rPr>
      <w:rFonts w:ascii="Times New Roman" w:hAnsi="Times New Roman" w:cs="Times New Roman"/>
      <w:b/>
      <w:sz w:val="28"/>
      <w:szCs w:val="28"/>
      <w:lang w:val="fr-BE"/>
    </w:rPr>
  </w:style>
  <w:style w:type="character" w:customStyle="1" w:styleId="CallIdentifierChar">
    <w:name w:val="CallIdentifier Char"/>
    <w:basedOn w:val="DefaultParagraphFont"/>
    <w:link w:val="CallIdentifier"/>
    <w:rsid w:val="00121C60"/>
    <w:rPr>
      <w:rFonts w:ascii="Times New Roman" w:hAnsi="Times New Roman" w:cs="Times New Roman"/>
      <w:b/>
      <w:i/>
      <w:sz w:val="24"/>
      <w:szCs w:val="24"/>
    </w:rPr>
  </w:style>
  <w:style w:type="character" w:customStyle="1" w:styleId="Heading2Char">
    <w:name w:val="Heading 2 Char"/>
    <w:basedOn w:val="DefaultParagraphFont"/>
    <w:link w:val="Heading2"/>
    <w:uiPriority w:val="9"/>
    <w:rsid w:val="006414B6"/>
    <w:rPr>
      <w:rFonts w:ascii="Times New Roman" w:eastAsiaTheme="majorEastAsia" w:hAnsi="Times New Roman" w:cs="Times New Roman"/>
      <w:b/>
      <w:bCs/>
      <w:sz w:val="28"/>
      <w:szCs w:val="28"/>
      <w:lang w:val="fr-BE"/>
    </w:rPr>
  </w:style>
  <w:style w:type="character" w:customStyle="1" w:styleId="Heading3Char">
    <w:name w:val="Heading 3 Char"/>
    <w:basedOn w:val="DefaultParagraphFont"/>
    <w:link w:val="Heading3"/>
    <w:uiPriority w:val="9"/>
    <w:rsid w:val="006414B6"/>
    <w:rPr>
      <w:rFonts w:ascii="Times New Roman" w:eastAsiaTheme="majorEastAsia" w:hAnsi="Times New Roman" w:cs="Times New Roman"/>
      <w:b/>
      <w:bCs/>
      <w:sz w:val="28"/>
      <w:szCs w:val="28"/>
    </w:rPr>
  </w:style>
  <w:style w:type="paragraph" w:customStyle="1" w:styleId="HeadingThree">
    <w:name w:val="HeadingThree"/>
    <w:basedOn w:val="Heading3"/>
    <w:next w:val="TextValue"/>
    <w:link w:val="HeadingThreeChar"/>
    <w:qFormat/>
    <w:rsid w:val="00593915"/>
    <w:pPr>
      <w:spacing w:before="240" w:after="240"/>
    </w:pPr>
    <w:rPr>
      <w:sz w:val="24"/>
    </w:rPr>
  </w:style>
  <w:style w:type="character" w:customStyle="1" w:styleId="HeadingThreeChar">
    <w:name w:val="HeadingThree Char"/>
    <w:basedOn w:val="Heading3Char"/>
    <w:link w:val="HeadingThree"/>
    <w:rsid w:val="00593915"/>
    <w:rPr>
      <w:rFonts w:ascii="Times New Roman" w:eastAsiaTheme="majorEastAsia" w:hAnsi="Times New Roman" w:cs="Times New Roman"/>
      <w:b/>
      <w:bCs/>
      <w:sz w:val="24"/>
      <w:szCs w:val="28"/>
    </w:rPr>
  </w:style>
  <w:style w:type="paragraph" w:styleId="Header">
    <w:name w:val="header"/>
    <w:basedOn w:val="Normal"/>
    <w:link w:val="HeaderChar"/>
    <w:uiPriority w:val="99"/>
    <w:unhideWhenUsed/>
    <w:rsid w:val="008249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499D"/>
  </w:style>
  <w:style w:type="paragraph" w:styleId="Footer">
    <w:name w:val="footer"/>
    <w:basedOn w:val="Normal"/>
    <w:link w:val="FooterChar"/>
    <w:uiPriority w:val="99"/>
    <w:unhideWhenUsed/>
    <w:rsid w:val="008249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499D"/>
  </w:style>
  <w:style w:type="character" w:customStyle="1" w:styleId="Heading1Char">
    <w:name w:val="Heading 1 Char"/>
    <w:basedOn w:val="DefaultParagraphFont"/>
    <w:link w:val="Heading1"/>
    <w:uiPriority w:val="9"/>
    <w:rsid w:val="00953FBF"/>
    <w:rPr>
      <w:rFonts w:ascii="Times New Roman" w:eastAsiaTheme="majorEastAsia" w:hAnsi="Times New Roman" w:cs="Times New Roman"/>
      <w:b/>
      <w:bCs/>
      <w:sz w:val="28"/>
      <w:szCs w:val="32"/>
    </w:rPr>
  </w:style>
  <w:style w:type="paragraph" w:styleId="TOCHeading">
    <w:name w:val="TOC Heading"/>
    <w:basedOn w:val="Heading1"/>
    <w:next w:val="Normal"/>
    <w:uiPriority w:val="39"/>
    <w:semiHidden/>
    <w:unhideWhenUsed/>
    <w:qFormat/>
    <w:rsid w:val="0082499D"/>
    <w:pPr>
      <w:outlineLvl w:val="9"/>
    </w:pPr>
    <w:rPr>
      <w:lang w:val="en-US" w:eastAsia="ja-JP"/>
    </w:rPr>
  </w:style>
  <w:style w:type="paragraph" w:styleId="BalloonText">
    <w:name w:val="Balloon Text"/>
    <w:basedOn w:val="Normal"/>
    <w:link w:val="BalloonTextChar"/>
    <w:uiPriority w:val="99"/>
    <w:semiHidden/>
    <w:unhideWhenUsed/>
    <w:rsid w:val="00824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99D"/>
    <w:rPr>
      <w:rFonts w:ascii="Tahoma" w:hAnsi="Tahoma" w:cs="Tahoma"/>
      <w:sz w:val="16"/>
      <w:szCs w:val="16"/>
    </w:rPr>
  </w:style>
  <w:style w:type="table" w:styleId="TableGrid">
    <w:name w:val="Table Grid"/>
    <w:basedOn w:val="TableNormal"/>
    <w:uiPriority w:val="59"/>
    <w:rsid w:val="004C3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One"/>
    <w:next w:val="Normal"/>
    <w:autoRedefine/>
    <w:uiPriority w:val="39"/>
    <w:unhideWhenUsed/>
    <w:qFormat/>
    <w:rsid w:val="00C44B92"/>
    <w:pPr>
      <w:keepNext w:val="0"/>
      <w:keepLines w:val="0"/>
      <w:spacing w:before="360"/>
      <w:jc w:val="left"/>
      <w:outlineLvl w:val="9"/>
    </w:pPr>
    <w:rPr>
      <w:rFonts w:eastAsiaTheme="minorEastAsia" w:cstheme="minorBidi"/>
      <w:noProof/>
      <w:szCs w:val="24"/>
      <w:lang w:val="en-US"/>
    </w:rPr>
  </w:style>
  <w:style w:type="paragraph" w:styleId="TOC3">
    <w:name w:val="toc 3"/>
    <w:basedOn w:val="Heading3"/>
    <w:next w:val="Normal"/>
    <w:autoRedefine/>
    <w:uiPriority w:val="39"/>
    <w:unhideWhenUsed/>
    <w:qFormat/>
    <w:rsid w:val="00B1406F"/>
    <w:pPr>
      <w:keepNext w:val="0"/>
      <w:keepLines w:val="0"/>
      <w:spacing w:before="0"/>
      <w:ind w:left="240"/>
      <w:jc w:val="left"/>
      <w:outlineLvl w:val="9"/>
    </w:pPr>
    <w:rPr>
      <w:rFonts w:eastAsiaTheme="minorEastAsia" w:cstheme="minorBidi"/>
      <w:b w:val="0"/>
      <w:bCs w:val="0"/>
      <w:sz w:val="24"/>
      <w:szCs w:val="20"/>
    </w:rPr>
  </w:style>
  <w:style w:type="paragraph" w:styleId="TOC2">
    <w:name w:val="toc 2"/>
    <w:basedOn w:val="Normal"/>
    <w:next w:val="Normal"/>
    <w:autoRedefine/>
    <w:uiPriority w:val="39"/>
    <w:unhideWhenUsed/>
    <w:qFormat/>
    <w:rsid w:val="00B1406F"/>
    <w:pPr>
      <w:spacing w:before="240" w:after="0"/>
      <w:jc w:val="left"/>
    </w:pPr>
    <w:rPr>
      <w:b/>
      <w:bCs/>
      <w:szCs w:val="20"/>
    </w:rPr>
  </w:style>
  <w:style w:type="character" w:styleId="PlaceholderText">
    <w:name w:val="Placeholder Text"/>
    <w:basedOn w:val="DefaultParagraphFont"/>
    <w:uiPriority w:val="99"/>
    <w:semiHidden/>
    <w:rsid w:val="00617338"/>
    <w:rPr>
      <w:color w:val="808080"/>
    </w:rPr>
  </w:style>
  <w:style w:type="paragraph" w:styleId="ListParagraph">
    <w:name w:val="List Paragraph"/>
    <w:basedOn w:val="Normal"/>
    <w:link w:val="ListParagraphChar"/>
    <w:uiPriority w:val="34"/>
    <w:qFormat/>
    <w:rsid w:val="004800FB"/>
    <w:pPr>
      <w:ind w:left="720"/>
    </w:pPr>
  </w:style>
  <w:style w:type="paragraph" w:customStyle="1" w:styleId="BulletParagraph">
    <w:name w:val="BulletParagraph"/>
    <w:basedOn w:val="ListParagraph"/>
    <w:link w:val="BulletParagraphChar"/>
    <w:qFormat/>
    <w:rsid w:val="006E622C"/>
    <w:pPr>
      <w:numPr>
        <w:numId w:val="1"/>
      </w:numPr>
    </w:pPr>
  </w:style>
  <w:style w:type="character" w:customStyle="1" w:styleId="ListParagraphChar">
    <w:name w:val="List Paragraph Char"/>
    <w:basedOn w:val="DefaultParagraphFont"/>
    <w:link w:val="ListParagraph"/>
    <w:uiPriority w:val="34"/>
    <w:rsid w:val="004800FB"/>
    <w:rPr>
      <w:rFonts w:ascii="Times New Roman" w:hAnsi="Times New Roman"/>
      <w:sz w:val="24"/>
    </w:rPr>
  </w:style>
  <w:style w:type="character" w:customStyle="1" w:styleId="BulletParagraphChar">
    <w:name w:val="BulletParagraph Char"/>
    <w:basedOn w:val="ListParagraphChar"/>
    <w:link w:val="BulletParagraph"/>
    <w:rsid w:val="006E622C"/>
    <w:rPr>
      <w:rFonts w:ascii="Times New Roman" w:hAnsi="Times New Roman"/>
      <w:sz w:val="24"/>
    </w:rPr>
  </w:style>
  <w:style w:type="paragraph" w:customStyle="1" w:styleId="BulletParagraphLevel2">
    <w:name w:val="BulletParagraphLevel2"/>
    <w:basedOn w:val="BulletParagraph"/>
    <w:link w:val="BulletParagraphLevel2Char"/>
    <w:qFormat/>
    <w:rsid w:val="00682D86"/>
    <w:pPr>
      <w:numPr>
        <w:ilvl w:val="1"/>
        <w:numId w:val="2"/>
      </w:numPr>
      <w:ind w:left="993" w:hanging="284"/>
    </w:pPr>
  </w:style>
  <w:style w:type="character" w:customStyle="1" w:styleId="BulletParagraphLevel2Char">
    <w:name w:val="BulletParagraphLevel2 Char"/>
    <w:basedOn w:val="BulletParagraphChar"/>
    <w:link w:val="BulletParagraphLevel2"/>
    <w:rsid w:val="00682D86"/>
    <w:rPr>
      <w:rFonts w:ascii="Times New Roman" w:hAnsi="Times New Roman"/>
      <w:sz w:val="24"/>
    </w:rPr>
  </w:style>
  <w:style w:type="paragraph" w:customStyle="1" w:styleId="NumberParagraph">
    <w:name w:val="NumberParagraph"/>
    <w:basedOn w:val="ListParagraph"/>
    <w:link w:val="NumberParagraphChar"/>
    <w:qFormat/>
    <w:rsid w:val="00500A02"/>
    <w:pPr>
      <w:numPr>
        <w:numId w:val="3"/>
      </w:numPr>
      <w:ind w:left="714" w:hanging="357"/>
    </w:pPr>
    <w:rPr>
      <w:rFonts w:eastAsiaTheme="majorEastAsia"/>
      <w:bCs/>
      <w:lang w:val="fr-BE"/>
    </w:rPr>
  </w:style>
  <w:style w:type="paragraph" w:customStyle="1" w:styleId="NumberParagraphLevel2">
    <w:name w:val="NumberParagraphLevel2"/>
    <w:basedOn w:val="ListParagraph"/>
    <w:link w:val="NumberParagraphLevel2Char"/>
    <w:qFormat/>
    <w:rsid w:val="003436D6"/>
    <w:pPr>
      <w:numPr>
        <w:numId w:val="4"/>
      </w:numPr>
    </w:pPr>
  </w:style>
  <w:style w:type="character" w:customStyle="1" w:styleId="NumberParagraphChar">
    <w:name w:val="NumberParagraph Char"/>
    <w:basedOn w:val="HeadingThreeChar"/>
    <w:link w:val="NumberParagraph"/>
    <w:rsid w:val="00500A02"/>
    <w:rPr>
      <w:rFonts w:ascii="Times New Roman" w:eastAsiaTheme="majorEastAsia" w:hAnsi="Times New Roman" w:cs="Times New Roman"/>
      <w:b w:val="0"/>
      <w:bCs/>
      <w:sz w:val="24"/>
      <w:szCs w:val="28"/>
      <w:lang w:val="fr-BE"/>
    </w:rPr>
  </w:style>
  <w:style w:type="character" w:customStyle="1" w:styleId="NumberParagraphLevel2Char">
    <w:name w:val="NumberParagraphLevel2 Char"/>
    <w:basedOn w:val="HeadingThreeChar"/>
    <w:link w:val="NumberParagraphLevel2"/>
    <w:rsid w:val="00F26F64"/>
    <w:rPr>
      <w:rFonts w:ascii="Times New Roman" w:eastAsiaTheme="majorEastAsia" w:hAnsi="Times New Roman" w:cs="Times New Roman"/>
      <w:b w:val="0"/>
      <w:bCs w:val="0"/>
      <w:sz w:val="24"/>
      <w:szCs w:val="28"/>
    </w:rPr>
  </w:style>
  <w:style w:type="paragraph" w:customStyle="1" w:styleId="TextBoldItalic">
    <w:name w:val="TextBoldItalic"/>
    <w:basedOn w:val="TextValue"/>
    <w:link w:val="TextBoldItalicChar"/>
    <w:qFormat/>
    <w:rsid w:val="002A36C4"/>
    <w:rPr>
      <w:b/>
      <w:i/>
    </w:rPr>
  </w:style>
  <w:style w:type="character" w:customStyle="1" w:styleId="TextBoldItalicChar">
    <w:name w:val="TextBoldItalic Char"/>
    <w:basedOn w:val="TextValueChar"/>
    <w:link w:val="TextBoldItalic"/>
    <w:rsid w:val="002A36C4"/>
    <w:rPr>
      <w:rFonts w:ascii="Times New Roman" w:hAnsi="Times New Roman" w:cs="Times New Roman"/>
      <w:b/>
      <w:i/>
      <w:sz w:val="24"/>
      <w:szCs w:val="24"/>
    </w:rPr>
  </w:style>
  <w:style w:type="paragraph" w:customStyle="1" w:styleId="CoverWP">
    <w:name w:val="CoverWP"/>
    <w:basedOn w:val="BulletParagraph"/>
    <w:link w:val="CoverWPChar"/>
    <w:qFormat/>
    <w:rsid w:val="00061BF5"/>
    <w:pPr>
      <w:numPr>
        <w:numId w:val="0"/>
      </w:numPr>
      <w:spacing w:before="360" w:after="360"/>
      <w:jc w:val="center"/>
    </w:pPr>
    <w:rPr>
      <w:rFonts w:cs="Times New Roman"/>
      <w:b/>
      <w:sz w:val="32"/>
      <w:szCs w:val="36"/>
    </w:rPr>
  </w:style>
  <w:style w:type="paragraph" w:customStyle="1" w:styleId="CoverTitle">
    <w:name w:val="CoverTitle"/>
    <w:basedOn w:val="Normal"/>
    <w:link w:val="CoverTitleChar"/>
    <w:qFormat/>
    <w:rsid w:val="008425FA"/>
    <w:pPr>
      <w:spacing w:before="840" w:after="840"/>
      <w:jc w:val="center"/>
    </w:pPr>
    <w:rPr>
      <w:i/>
      <w:sz w:val="32"/>
      <w:szCs w:val="32"/>
    </w:rPr>
  </w:style>
  <w:style w:type="character" w:customStyle="1" w:styleId="CoverWPChar">
    <w:name w:val="CoverWP Char"/>
    <w:basedOn w:val="BulletParagraphChar"/>
    <w:link w:val="CoverWP"/>
    <w:rsid w:val="00061BF5"/>
    <w:rPr>
      <w:rFonts w:ascii="Times New Roman" w:hAnsi="Times New Roman" w:cs="Times New Roman"/>
      <w:b/>
      <w:sz w:val="32"/>
      <w:szCs w:val="36"/>
    </w:rPr>
  </w:style>
  <w:style w:type="character" w:customStyle="1" w:styleId="CoverTitleChar">
    <w:name w:val="CoverTitle Char"/>
    <w:basedOn w:val="CoverWPChar"/>
    <w:link w:val="CoverTitle"/>
    <w:rsid w:val="008425FA"/>
    <w:rPr>
      <w:rFonts w:ascii="Times New Roman" w:hAnsi="Times New Roman" w:cs="Times New Roman"/>
      <w:b w:val="0"/>
      <w:i/>
      <w:sz w:val="32"/>
      <w:szCs w:val="32"/>
    </w:rPr>
  </w:style>
  <w:style w:type="paragraph" w:customStyle="1" w:styleId="TableEmptyCell">
    <w:name w:val="TableEmptyCell"/>
    <w:basedOn w:val="TextValue"/>
    <w:link w:val="TableEmptyCellChar"/>
    <w:qFormat/>
    <w:rsid w:val="001A7A4B"/>
    <w:pPr>
      <w:spacing w:after="0" w:line="240" w:lineRule="auto"/>
    </w:pPr>
    <w:rPr>
      <w:sz w:val="2"/>
      <w:szCs w:val="2"/>
    </w:rPr>
  </w:style>
  <w:style w:type="paragraph" w:customStyle="1" w:styleId="CellTextValue">
    <w:name w:val="CellTextValue"/>
    <w:basedOn w:val="TextValue"/>
    <w:link w:val="CellTextValueChar"/>
    <w:qFormat/>
    <w:rsid w:val="00D7627B"/>
    <w:pPr>
      <w:spacing w:after="80"/>
    </w:pPr>
  </w:style>
  <w:style w:type="character" w:customStyle="1" w:styleId="TableEmptyCellChar">
    <w:name w:val="TableEmptyCell Char"/>
    <w:basedOn w:val="TextValueChar"/>
    <w:link w:val="TableEmptyCell"/>
    <w:rsid w:val="001A7A4B"/>
    <w:rPr>
      <w:rFonts w:ascii="Times New Roman" w:hAnsi="Times New Roman" w:cs="Times New Roman"/>
      <w:sz w:val="2"/>
      <w:szCs w:val="2"/>
    </w:rPr>
  </w:style>
  <w:style w:type="character" w:customStyle="1" w:styleId="CellTextValueChar">
    <w:name w:val="CellTextValue Char"/>
    <w:basedOn w:val="TextValueChar"/>
    <w:link w:val="CellTextValue"/>
    <w:rsid w:val="00D7627B"/>
    <w:rPr>
      <w:rFonts w:ascii="Times New Roman" w:hAnsi="Times New Roman" w:cs="Times New Roman"/>
      <w:sz w:val="24"/>
      <w:szCs w:val="24"/>
    </w:rPr>
  </w:style>
  <w:style w:type="character" w:customStyle="1" w:styleId="Heading4Char">
    <w:name w:val="Heading 4 Char"/>
    <w:basedOn w:val="DefaultParagraphFont"/>
    <w:link w:val="Heading4"/>
    <w:uiPriority w:val="9"/>
    <w:rsid w:val="006414B6"/>
    <w:rPr>
      <w:rFonts w:ascii="Times New Roman" w:eastAsiaTheme="majorEastAsia" w:hAnsi="Times New Roman" w:cs="Times New Roman"/>
      <w:b/>
      <w:bCs/>
      <w:iCs/>
      <w:sz w:val="24"/>
      <w:szCs w:val="24"/>
    </w:rPr>
  </w:style>
  <w:style w:type="paragraph" w:customStyle="1" w:styleId="HeadingOne">
    <w:name w:val="HeadingOne"/>
    <w:basedOn w:val="Heading1"/>
    <w:next w:val="TextValue"/>
    <w:qFormat/>
    <w:rsid w:val="00C16345"/>
  </w:style>
  <w:style w:type="paragraph" w:customStyle="1" w:styleId="HeadingTwo">
    <w:name w:val="HeadingTwo"/>
    <w:basedOn w:val="Heading2"/>
    <w:next w:val="TextValue"/>
    <w:qFormat/>
    <w:rsid w:val="00953FBF"/>
    <w:pPr>
      <w:spacing w:after="200"/>
    </w:pPr>
    <w:rPr>
      <w:sz w:val="24"/>
    </w:rPr>
  </w:style>
  <w:style w:type="paragraph" w:customStyle="1" w:styleId="HeadingFour">
    <w:name w:val="HeadingFour"/>
    <w:basedOn w:val="Heading4"/>
    <w:next w:val="TextValue"/>
    <w:qFormat/>
    <w:rsid w:val="006414B6"/>
    <w:rPr>
      <w:b w:val="0"/>
    </w:rPr>
  </w:style>
  <w:style w:type="character" w:styleId="Hyperlink">
    <w:name w:val="Hyperlink"/>
    <w:basedOn w:val="DefaultParagraphFont"/>
    <w:uiPriority w:val="99"/>
    <w:unhideWhenUsed/>
    <w:rsid w:val="001E22B7"/>
    <w:rPr>
      <w:color w:val="0000FF" w:themeColor="hyperlink"/>
      <w:u w:val="single"/>
    </w:rPr>
  </w:style>
  <w:style w:type="paragraph" w:styleId="TOC4">
    <w:name w:val="toc 4"/>
    <w:basedOn w:val="Normal"/>
    <w:next w:val="Normal"/>
    <w:autoRedefine/>
    <w:uiPriority w:val="39"/>
    <w:unhideWhenUsed/>
    <w:rsid w:val="00B1406F"/>
    <w:pPr>
      <w:spacing w:after="0"/>
      <w:ind w:left="480"/>
      <w:jc w:val="left"/>
    </w:pPr>
    <w:rPr>
      <w:sz w:val="22"/>
      <w:szCs w:val="20"/>
    </w:rPr>
  </w:style>
  <w:style w:type="paragraph" w:styleId="TOC5">
    <w:name w:val="toc 5"/>
    <w:basedOn w:val="Normal"/>
    <w:next w:val="Normal"/>
    <w:autoRedefine/>
    <w:uiPriority w:val="39"/>
    <w:unhideWhenUsed/>
    <w:rsid w:val="001E22B7"/>
    <w:pPr>
      <w:spacing w:after="0"/>
      <w:ind w:left="720"/>
      <w:jc w:val="left"/>
    </w:pPr>
    <w:rPr>
      <w:rFonts w:asciiTheme="minorHAnsi" w:hAnsiTheme="minorHAnsi"/>
      <w:sz w:val="20"/>
      <w:szCs w:val="20"/>
    </w:rPr>
  </w:style>
  <w:style w:type="paragraph" w:styleId="TOC6">
    <w:name w:val="toc 6"/>
    <w:basedOn w:val="Normal"/>
    <w:next w:val="Normal"/>
    <w:autoRedefine/>
    <w:uiPriority w:val="39"/>
    <w:unhideWhenUsed/>
    <w:rsid w:val="001E22B7"/>
    <w:pPr>
      <w:spacing w:after="0"/>
      <w:ind w:left="960"/>
      <w:jc w:val="left"/>
    </w:pPr>
    <w:rPr>
      <w:rFonts w:asciiTheme="minorHAnsi" w:hAnsiTheme="minorHAnsi"/>
      <w:sz w:val="20"/>
      <w:szCs w:val="20"/>
    </w:rPr>
  </w:style>
  <w:style w:type="paragraph" w:styleId="TOC7">
    <w:name w:val="toc 7"/>
    <w:basedOn w:val="Normal"/>
    <w:next w:val="Normal"/>
    <w:autoRedefine/>
    <w:uiPriority w:val="39"/>
    <w:unhideWhenUsed/>
    <w:rsid w:val="001E22B7"/>
    <w:pPr>
      <w:spacing w:after="0"/>
      <w:ind w:left="1200"/>
      <w:jc w:val="left"/>
    </w:pPr>
    <w:rPr>
      <w:rFonts w:asciiTheme="minorHAnsi" w:hAnsiTheme="minorHAnsi"/>
      <w:sz w:val="20"/>
      <w:szCs w:val="20"/>
    </w:rPr>
  </w:style>
  <w:style w:type="paragraph" w:styleId="TOC8">
    <w:name w:val="toc 8"/>
    <w:basedOn w:val="Normal"/>
    <w:next w:val="Normal"/>
    <w:autoRedefine/>
    <w:uiPriority w:val="39"/>
    <w:unhideWhenUsed/>
    <w:rsid w:val="001E22B7"/>
    <w:pPr>
      <w:spacing w:after="0"/>
      <w:ind w:left="1440"/>
      <w:jc w:val="left"/>
    </w:pPr>
    <w:rPr>
      <w:rFonts w:asciiTheme="minorHAnsi" w:hAnsiTheme="minorHAnsi"/>
      <w:sz w:val="20"/>
      <w:szCs w:val="20"/>
    </w:rPr>
  </w:style>
  <w:style w:type="paragraph" w:styleId="TOC9">
    <w:name w:val="toc 9"/>
    <w:basedOn w:val="Normal"/>
    <w:next w:val="Normal"/>
    <w:autoRedefine/>
    <w:uiPriority w:val="39"/>
    <w:unhideWhenUsed/>
    <w:rsid w:val="001E22B7"/>
    <w:pPr>
      <w:spacing w:after="0"/>
      <w:ind w:left="1680"/>
      <w:jc w:val="left"/>
    </w:pPr>
    <w:rPr>
      <w:rFonts w:asciiTheme="minorHAnsi" w:hAnsiTheme="minorHAnsi"/>
      <w:sz w:val="20"/>
      <w:szCs w:val="20"/>
    </w:rPr>
  </w:style>
  <w:style w:type="paragraph" w:customStyle="1" w:styleId="CellHeaderTextValue">
    <w:name w:val="CellHeaderTextValue"/>
    <w:basedOn w:val="CellTextValue"/>
    <w:qFormat/>
    <w:rsid w:val="00DA1E6F"/>
    <w:pPr>
      <w:jc w:val="center"/>
    </w:pPr>
  </w:style>
  <w:style w:type="paragraph" w:customStyle="1" w:styleId="CellTextValueNumeric">
    <w:name w:val="CellTextValueNumeric"/>
    <w:basedOn w:val="CellTextValue"/>
    <w:link w:val="CellTextValueNumericChar"/>
    <w:qFormat/>
    <w:rsid w:val="00B01D9A"/>
    <w:pPr>
      <w:jc w:val="right"/>
    </w:pPr>
  </w:style>
  <w:style w:type="character" w:customStyle="1" w:styleId="CellTextValueNumericChar">
    <w:name w:val="CellTextValueNumeric Char"/>
    <w:basedOn w:val="CellTextValueChar"/>
    <w:link w:val="CellTextValueNumeric"/>
    <w:rsid w:val="00B01D9A"/>
    <w:rPr>
      <w:rFonts w:ascii="Times New Roman" w:hAnsi="Times New Roman" w:cs="Times New Roman"/>
      <w:sz w:val="24"/>
      <w:szCs w:val="24"/>
    </w:rPr>
  </w:style>
  <w:style w:type="paragraph" w:customStyle="1" w:styleId="CellTextValueGray">
    <w:name w:val="CellTextValueGray"/>
    <w:basedOn w:val="CellTextValue"/>
    <w:next w:val="CellTextValue"/>
    <w:link w:val="CellTextValueGrayChar"/>
    <w:qFormat/>
    <w:rsid w:val="00294CCE"/>
    <w:rPr>
      <w:i/>
      <w:color w:val="A6A6A6" w:themeColor="background1" w:themeShade="A6"/>
    </w:rPr>
  </w:style>
  <w:style w:type="paragraph" w:customStyle="1" w:styleId="CellTextValueNumericGray">
    <w:name w:val="CellTextValueNumericGray"/>
    <w:basedOn w:val="CellTextValueNumeric"/>
    <w:next w:val="CellTextValueNumeric"/>
    <w:link w:val="CellTextValueNumericGrayChar"/>
    <w:qFormat/>
    <w:rsid w:val="00294CCE"/>
    <w:rPr>
      <w:i/>
      <w:color w:val="A6A6A6" w:themeColor="background1" w:themeShade="A6"/>
    </w:rPr>
  </w:style>
  <w:style w:type="character" w:customStyle="1" w:styleId="CellTextValueGrayChar">
    <w:name w:val="CellTextValueGray Char"/>
    <w:basedOn w:val="CellTextValueChar"/>
    <w:link w:val="CellTextValueGray"/>
    <w:rsid w:val="00294CCE"/>
    <w:rPr>
      <w:rFonts w:ascii="Times New Roman" w:hAnsi="Times New Roman" w:cs="Times New Roman"/>
      <w:i/>
      <w:color w:val="A6A6A6" w:themeColor="background1" w:themeShade="A6"/>
      <w:sz w:val="24"/>
      <w:szCs w:val="24"/>
    </w:rPr>
  </w:style>
  <w:style w:type="character" w:customStyle="1" w:styleId="CellTextValueNumericGrayChar">
    <w:name w:val="CellTextValueNumericGray Char"/>
    <w:basedOn w:val="CellTextValueNumericChar"/>
    <w:link w:val="CellTextValueNumericGray"/>
    <w:rsid w:val="00294CCE"/>
    <w:rPr>
      <w:rFonts w:ascii="Times New Roman" w:hAnsi="Times New Roman" w:cs="Times New Roman"/>
      <w:i/>
      <w:color w:val="A6A6A6" w:themeColor="background1" w:themeShade="A6"/>
      <w:sz w:val="24"/>
      <w:szCs w:val="24"/>
    </w:rPr>
  </w:style>
  <w:style w:type="paragraph" w:styleId="PlainText">
    <w:name w:val="Plain Text"/>
    <w:basedOn w:val="Normal"/>
    <w:link w:val="PlainTextChar"/>
    <w:uiPriority w:val="99"/>
    <w:semiHidden/>
    <w:unhideWhenUsed/>
    <w:rsid w:val="009E7A2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E7A2D"/>
    <w:rPr>
      <w:rFonts w:ascii="Consolas" w:hAnsi="Consolas"/>
      <w:sz w:val="21"/>
      <w:szCs w:val="21"/>
    </w:rPr>
  </w:style>
  <w:style w:type="paragraph" w:customStyle="1" w:styleId="NumberParagraphAlpha">
    <w:name w:val="NumberParagraphAlpha"/>
    <w:basedOn w:val="ListParagraph"/>
    <w:link w:val="NumberParagraphAlphaChar"/>
    <w:qFormat/>
    <w:rsid w:val="003436D6"/>
    <w:pPr>
      <w:numPr>
        <w:numId w:val="5"/>
      </w:numPr>
      <w:ind w:left="714" w:hanging="357"/>
    </w:pPr>
  </w:style>
  <w:style w:type="character" w:customStyle="1" w:styleId="NumberParagraphAlphaChar">
    <w:name w:val="NumberParagraphAlpha Char"/>
    <w:basedOn w:val="NumberParagraphChar"/>
    <w:link w:val="NumberParagraphAlpha"/>
    <w:rsid w:val="003436D6"/>
    <w:rPr>
      <w:rFonts w:ascii="Times New Roman" w:eastAsiaTheme="majorEastAsia" w:hAnsi="Times New Roman" w:cs="Times New Roman"/>
      <w:b w:val="0"/>
      <w:bCs w:val="0"/>
      <w:sz w:val="24"/>
      <w:szCs w:val="28"/>
      <w:lang w:val="fr-BE"/>
    </w:rPr>
  </w:style>
  <w:style w:type="paragraph" w:customStyle="1" w:styleId="BookTitleCPS">
    <w:name w:val="BookTitleCPS"/>
    <w:basedOn w:val="HeadingTwo"/>
    <w:link w:val="BookTitleCPSChar"/>
    <w:qFormat/>
    <w:rsid w:val="00675CF6"/>
    <w:rPr>
      <w:smallCaps/>
      <w:spacing w:val="5"/>
    </w:rPr>
  </w:style>
  <w:style w:type="character" w:customStyle="1" w:styleId="BookTitleCPSChar">
    <w:name w:val="BookTitleCPS Char"/>
    <w:basedOn w:val="DefaultParagraphFont"/>
    <w:link w:val="BookTitleCPS"/>
    <w:rsid w:val="00675CF6"/>
    <w:rPr>
      <w:rFonts w:ascii="Times New Roman" w:eastAsiaTheme="majorEastAsia" w:hAnsi="Times New Roman" w:cs="Times New Roman"/>
      <w:b/>
      <w:bCs/>
      <w:smallCaps/>
      <w:spacing w:val="5"/>
      <w:sz w:val="24"/>
      <w:szCs w:val="28"/>
      <w:lang w:val="fr-BE"/>
    </w:rPr>
  </w:style>
  <w:style w:type="paragraph" w:customStyle="1" w:styleId="HeaderStyle">
    <w:name w:val="HeaderStyle"/>
    <w:basedOn w:val="Normal"/>
    <w:qFormat/>
    <w:rsid w:val="002363FC"/>
    <w:pPr>
      <w:spacing w:after="0" w:line="240" w:lineRule="auto"/>
      <w:jc w:val="center"/>
    </w:pPr>
    <w:rPr>
      <w:b/>
      <w:i/>
      <w:sz w:val="20"/>
    </w:rPr>
  </w:style>
  <w:style w:type="paragraph" w:customStyle="1" w:styleId="FooterStyle">
    <w:name w:val="FooterStyle"/>
    <w:basedOn w:val="Normal"/>
    <w:qFormat/>
    <w:rsid w:val="00E560B7"/>
    <w:pPr>
      <w:spacing w:after="0" w:line="240" w:lineRule="auto"/>
      <w:jc w:val="center"/>
    </w:pPr>
    <w:rPr>
      <w:sz w:val="20"/>
    </w:rPr>
  </w:style>
  <w:style w:type="paragraph" w:customStyle="1" w:styleId="Notice">
    <w:name w:val="Notice"/>
    <w:basedOn w:val="Normal"/>
    <w:qFormat/>
    <w:rsid w:val="00472A70"/>
    <w:pPr>
      <w:spacing w:after="120"/>
    </w:pPr>
    <w:rPr>
      <w:b/>
      <w:sz w:val="22"/>
    </w:rPr>
  </w:style>
  <w:style w:type="paragraph" w:customStyle="1" w:styleId="Style1">
    <w:name w:val="Style1"/>
    <w:basedOn w:val="Notice"/>
    <w:qFormat/>
    <w:rsid w:val="00D10FD8"/>
    <w:pPr>
      <w:jc w:val="center"/>
    </w:pPr>
  </w:style>
  <w:style w:type="paragraph" w:customStyle="1" w:styleId="NoticeTitle">
    <w:name w:val="NoticeTitle"/>
    <w:basedOn w:val="Notice"/>
    <w:qFormat/>
    <w:rsid w:val="00A5734C"/>
    <w:pPr>
      <w:jc w:val="center"/>
    </w:pPr>
  </w:style>
  <w:style w:type="paragraph" w:customStyle="1" w:styleId="CoverDecision">
    <w:name w:val="CoverDecision"/>
    <w:basedOn w:val="CoverTitle"/>
    <w:qFormat/>
    <w:rsid w:val="00D177EE"/>
    <w:rPr>
      <w:sz w:val="28"/>
    </w:rPr>
  </w:style>
  <w:style w:type="paragraph" w:customStyle="1" w:styleId="footnote1">
    <w:name w:val="footnote1"/>
    <w:basedOn w:val="Notice"/>
    <w:qFormat/>
    <w:rsid w:val="004E0E4B"/>
    <w:pPr>
      <w:spacing w:after="0" w:line="240" w:lineRule="auto"/>
      <w:ind w:left="720" w:hanging="720"/>
    </w:pPr>
    <w:rPr>
      <w:b w:val="0"/>
      <w:sz w:val="20"/>
    </w:rPr>
  </w:style>
  <w:style w:type="paragraph" w:customStyle="1" w:styleId="footnote2">
    <w:name w:val="footnote2"/>
    <w:basedOn w:val="footnote1"/>
    <w:qFormat/>
    <w:rsid w:val="004E0E4B"/>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dis.europa.eu/programme/id/HORIZON_HORIZON-CL3-2022-FCT-01-03/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17" Type="http://schemas.openxmlformats.org/officeDocument/2006/relationships/hyperlink" Target="https://eur-lex.europa.eu/legal-content/EN/TXT/?uri=CELEX%3A52020DC0605" TargetMode="External"/><Relationship Id="rId21" Type="http://schemas.openxmlformats.org/officeDocument/2006/relationships/hyperlink" Target="https://ec.europa.eu/info/funding-tenders/opportunities/docs/2021-2027/horizon/guidance/ls-decision_he_en.pdf" TargetMode="External"/><Relationship Id="rId42" Type="http://schemas.openxmlformats.org/officeDocument/2006/relationships/hyperlink" Target="https://ec.europa.eu/info/funding-tenders/opportunities/docs/2021-2027/horizon/guidance/ls-decision_he_en.pdf" TargetMode="External"/><Relationship Id="rId63" Type="http://schemas.openxmlformats.org/officeDocument/2006/relationships/hyperlink" Target="https://ec.europa.eu/info/funding-tenders/opportunities/docs/2021-2027/horizon/guidance/ls-decision_he_en.pdf" TargetMode="External"/><Relationship Id="rId84" Type="http://schemas.openxmlformats.org/officeDocument/2006/relationships/hyperlink" Target="https://eur-lex.europa.eu/legal-content/EN/TXT/PDF/?uri=CELEX:52014XG0614(08)" TargetMode="External"/><Relationship Id="rId138" Type="http://schemas.openxmlformats.org/officeDocument/2006/relationships/hyperlink" Target="https://ec.europa.eu/info/funding-tenders/opportunities/docs/2021-2027/horizon/guidance/ls-decision_he_en.pdf" TargetMode="External"/><Relationship Id="rId159" Type="http://schemas.openxmlformats.org/officeDocument/2006/relationships/hyperlink" Target="https://pec.ac.uk/wp-content/uploads/2023/12/PEC-report-Social-mobility-in-the-Creative-Economy-Sept-2021.pdf" TargetMode="External"/><Relationship Id="rId170" Type="http://schemas.openxmlformats.org/officeDocument/2006/relationships/hyperlink" Target="https://ec.europa.eu/info/funding-tenders/opportunities/docs/2021-2027/horizon/guidance/ls-decision_he_en.pdf" TargetMode="External"/><Relationship Id="rId191" Type="http://schemas.openxmlformats.org/officeDocument/2006/relationships/hyperlink" Target="https://ec.europa.eu/info/funding-tenders/opportunities/docs/2021-2027/horizon/guidance/ls-decision_he_en.pdf" TargetMode="External"/><Relationship Id="rId205" Type="http://schemas.openxmlformats.org/officeDocument/2006/relationships/hyperlink" Target="https://ec.europa.eu/info/funding-tenders/opportunities/docs/2021-2027/horizon/guidance/ls-decision_he_en.pdf" TargetMode="External"/><Relationship Id="rId226" Type="http://schemas.openxmlformats.org/officeDocument/2006/relationships/hyperlink" Target="https://ec.europa.eu/info/funding-tenders/opportunities/docs/2021-2027/horizon/guidance/ls-decision_he_en.pdf" TargetMode="External"/><Relationship Id="rId107" Type="http://schemas.openxmlformats.org/officeDocument/2006/relationships/hyperlink" Target="https://publications.jrc.ec.europa.eu/repository/handle/JRC142598" TargetMode="External"/><Relationship Id="rId11" Type="http://schemas.openxmlformats.org/officeDocument/2006/relationships/hyperlink" Target="https://www.europeansocialsurvey.org/" TargetMode="External"/><Relationship Id="rId32" Type="http://schemas.openxmlformats.org/officeDocument/2006/relationships/hyperlink" Target="https://ec.europa.eu/info/funding-tenders/opportunities/docs/2021-2027/horizon/guidance/ls-decision_he_en.pdf" TargetMode="External"/><Relationship Id="rId53" Type="http://schemas.openxmlformats.org/officeDocument/2006/relationships/hyperlink" Target="https://commission.europa.eu/strategy-and-policy/policies/justice-and-fundamental-rights/combatting-discrimination/racism-and-xenophobia/combating-hate-speech-and-hate-crime_en" TargetMode="External"/><Relationship Id="rId74" Type="http://schemas.openxmlformats.org/officeDocument/2006/relationships/hyperlink" Target="https://enlargement.ec.europa.eu/european-neighbourhood-policy_en" TargetMode="External"/><Relationship Id="rId128" Type="http://schemas.openxmlformats.org/officeDocument/2006/relationships/hyperlink" Target="https://research-and-innovation.ec.europa.eu/research-area/social-sciences-and-humanities/cultural-heritage-and-cultural-and-creative-industries-ccis/cultural-heritage-cloud_en" TargetMode="External"/><Relationship Id="rId149" Type="http://schemas.openxmlformats.org/officeDocument/2006/relationships/hyperlink" Target="https://ec.europa.eu/info/funding-tenders/opportunities/docs/2021-2027/horizon/guidance/ls-decision_he_en.pdf" TargetMode="External"/><Relationship Id="rId5" Type="http://schemas.openxmlformats.org/officeDocument/2006/relationships/hyperlink" Target="https://www.europeansocialsurvey.org/" TargetMode="External"/><Relationship Id="rId95" Type="http://schemas.openxmlformats.org/officeDocument/2006/relationships/hyperlink" Target="https://digital-strategy.ec.europa.eu/en/funding/creative-innovation-lab-unleashing-innovative-solutions-audiovisual-and-creative-sectors" TargetMode="External"/><Relationship Id="rId160" Type="http://schemas.openxmlformats.org/officeDocument/2006/relationships/hyperlink" Target="https://ec.europa.eu/info/funding-tenders/opportunities/docs/2021-2027/horizon/guidance/ls-decision_he_en.pdf" TargetMode="External"/><Relationship Id="rId181" Type="http://schemas.openxmlformats.org/officeDocument/2006/relationships/hyperlink" Target="https://commission.europa.eu/topics/eu-competitiveness/draghi-report_en" TargetMode="External"/><Relationship Id="rId216" Type="http://schemas.openxmlformats.org/officeDocument/2006/relationships/hyperlink" Target="https://commission.europa.eu/document/download/e6cd4328-673c-4e7a-8683-f63ffb2cf648_en?filename=PoliticalGuidelines2024-2029_EN.pdf" TargetMode="External"/><Relationship Id="rId22" Type="http://schemas.openxmlformats.org/officeDocument/2006/relationships/hyperlink" Target="https://ec.europa.eu/info/funding-tenders/opportunities/docs/2021-2027/common/guidance/list-3rd-country-participation_horizon-euratom_en.pdf" TargetMode="External"/><Relationship Id="rId43" Type="http://schemas.openxmlformats.org/officeDocument/2006/relationships/hyperlink" Target="https://ec.europa.eu/info/funding-tenders/opportunities/docs/2021-2027/horizon/guidance/ls-decision_he_en.pdf" TargetMode="External"/><Relationship Id="rId64" Type="http://schemas.openxmlformats.org/officeDocument/2006/relationships/hyperlink" Target="https://ec.europa.eu/info/funding-tenders/opportunities/docs/2021-2027/horizon/guidance/ls-decision_he_en.pdf" TargetMode="External"/><Relationship Id="rId118" Type="http://schemas.openxmlformats.org/officeDocument/2006/relationships/hyperlink" Target="https://eur-lex.europa.eu/legal-content/EN/TXT/?uri=CELEX%3A52021DC0170" TargetMode="External"/><Relationship Id="rId139" Type="http://schemas.openxmlformats.org/officeDocument/2006/relationships/hyperlink" Target="https://ec.europa.eu/info/funding-tenders/opportunities/docs/2021-2027/horizon/guidance/ls-decision_he_en.pdf" TargetMode="External"/><Relationship Id="rId85" Type="http://schemas.openxmlformats.org/officeDocument/2006/relationships/hyperlink" Target="https://rm.coe.int/1680083746" TargetMode="External"/><Relationship Id="rId150" Type="http://schemas.openxmlformats.org/officeDocument/2006/relationships/hyperlink" Target="https://www.who.int/europe/publications/i/item/9789289054553" TargetMode="External"/><Relationship Id="rId171" Type="http://schemas.openxmlformats.org/officeDocument/2006/relationships/hyperlink" Target="https://ich.unesco.org/en/convention" TargetMode="External"/><Relationship Id="rId192" Type="http://schemas.openxmlformats.org/officeDocument/2006/relationships/hyperlink" Target="https://ec.europa.eu/info/funding-tenders/opportunities/docs/2021-2027/horizon/guidance/ls-decision_he_en.pdf" TargetMode="External"/><Relationship Id="rId206" Type="http://schemas.openxmlformats.org/officeDocument/2006/relationships/hyperlink" Target="https://ec.europa.eu/info/funding-tenders/opportunities/docs/2021-2027/horizon/guidance/ls-decision_he_en.pdf" TargetMode="External"/><Relationship Id="rId227" Type="http://schemas.openxmlformats.org/officeDocument/2006/relationships/hyperlink" Target="https://ec.europa.eu/info/funding-tenders/opportunities/docs/2021-2027/horizon/guidance/ls-decision_he_en.pdf" TargetMode="External"/><Relationship Id="rId12" Type="http://schemas.openxmlformats.org/officeDocument/2006/relationships/hyperlink" Target="https://www.share-eric.eu/" TargetMode="External"/><Relationship Id="rId33" Type="http://schemas.openxmlformats.org/officeDocument/2006/relationships/hyperlink" Target="https://ec.europa.eu/info/funding-tenders/opportunities/docs/2021-2027/horizon/guidance/ls-decision_he_en.pdf" TargetMode="External"/><Relationship Id="rId108" Type="http://schemas.openxmlformats.org/officeDocument/2006/relationships/hyperlink" Target="https://digital-strategy.ec.europa.eu/en/library/ai-continent-action-plan" TargetMode="External"/><Relationship Id="rId129" Type="http://schemas.openxmlformats.org/officeDocument/2006/relationships/hyperlink" Target="https://culture.ec.europa.eu/news/the-eu-presents-expert-recommendations-on-safeguarding-cultural-heritage-in-ukraine" TargetMode="External"/><Relationship Id="rId54" Type="http://schemas.openxmlformats.org/officeDocument/2006/relationships/hyperlink" Target="https://edmo.eu/" TargetMode="External"/><Relationship Id="rId75" Type="http://schemas.openxmlformats.org/officeDocument/2006/relationships/hyperlink" Target="https://ec.europa.eu/info/funding-tenders/opportunities/docs/2021-2027/common/guidance/list-3rd-country-participation_horizon-euratom_en.pdf" TargetMode="External"/><Relationship Id="rId96" Type="http://schemas.openxmlformats.org/officeDocument/2006/relationships/hyperlink" Target="https://research-and-innovation.ec.europa.eu/document/download/2f76a0df-b09b-47c2-949c-800c30e4c530_en" TargetMode="External"/><Relationship Id="rId140" Type="http://schemas.openxmlformats.org/officeDocument/2006/relationships/hyperlink" Target="https://ec.europa.eu/info/funding-tenders/opportunities/docs/2021-2027/horizon/guidance/ls-decision_he_en.pdf" TargetMode="External"/><Relationship Id="rId161" Type="http://schemas.openxmlformats.org/officeDocument/2006/relationships/hyperlink" Target="https://ec.europa.eu/info/funding-tenders/opportunities/docs/2021-2027/horizon/guidance/ls-decision_he_en.pdf" TargetMode="External"/><Relationship Id="rId182" Type="http://schemas.openxmlformats.org/officeDocument/2006/relationships/hyperlink" Target="https://ec.europa.eu/info/funding-tenders/opportunities/docs/2021-2027/horizon/guidance/ls-decision_he_en.pdf" TargetMode="External"/><Relationship Id="rId217" Type="http://schemas.openxmlformats.org/officeDocument/2006/relationships/hyperlink" Target="https://ec.europa.eu/info/funding-tenders/opportunities/docs/2021-2027/horizon/guidance/ls-decision_he_en.pdf" TargetMode="External"/><Relationship Id="rId6" Type="http://schemas.openxmlformats.org/officeDocument/2006/relationships/hyperlink" Target="https://www.share-eric.eu/" TargetMode="External"/><Relationship Id="rId23" Type="http://schemas.openxmlformats.org/officeDocument/2006/relationships/hyperlink" Target="https://www.eeas.europa.eu/sites/default/files/documents/2024/Action-Plan-EN_2020-2027.pdf" TargetMode="External"/><Relationship Id="rId119" Type="http://schemas.openxmlformats.org/officeDocument/2006/relationships/hyperlink" Target="https://eur-lex.europa.eu/legal-content/EN/TXT/?uri=CELEX%3A52022DC0800" TargetMode="External"/><Relationship Id="rId44" Type="http://schemas.openxmlformats.org/officeDocument/2006/relationships/hyperlink" Target="https://ec.europa.eu/info/funding-tenders/opportunities/docs/2021-2027/horizon/guidance/ls-decision_he_en.pdf" TargetMode="External"/><Relationship Id="rId65" Type="http://schemas.openxmlformats.org/officeDocument/2006/relationships/hyperlink" Target="https://enlargement.ec.europa.eu/european-neighbourhood-policy_en" TargetMode="External"/><Relationship Id="rId86" Type="http://schemas.openxmlformats.org/officeDocument/2006/relationships/hyperlink" Target="https://ec.europa.eu/info/funding-tenders/opportunities/docs/2021-2027/horizon/guidance/ls-decision_he_en.pdf" TargetMode="External"/><Relationship Id="rId130" Type="http://schemas.openxmlformats.org/officeDocument/2006/relationships/hyperlink" Target="https://ec.europa.eu/info/funding-tenders/opportunities/docs/2021-2027/horizon/guidance/ls-decision_he_en.pdf" TargetMode="External"/><Relationship Id="rId151" Type="http://schemas.openxmlformats.org/officeDocument/2006/relationships/hyperlink" Target="https://ec.europa.eu/info/funding-tenders/opportunities/docs/2021-2027/horizon/guidance/ls-decision_he_en.pdf" TargetMode="External"/><Relationship Id="rId172" Type="http://schemas.openxmlformats.org/officeDocument/2006/relationships/hyperlink" Target="https://ec.europa.eu/info/funding-tenders/opportunities/docs/2021-2027/horizon/guidance/ls-decision_he_en.pdf" TargetMode="External"/><Relationship Id="rId193" Type="http://schemas.openxmlformats.org/officeDocument/2006/relationships/hyperlink" Target="https://op.europa.eu/en/publication-detail/-/publication/bc83061d-74ec-11ec-9136-01aa75ed71a1/language-en" TargetMode="External"/><Relationship Id="rId207" Type="http://schemas.openxmlformats.org/officeDocument/2006/relationships/hyperlink" Target="https://op.europa.eu/en/publication-detail/-/publication/2f9fc221-86bb-11ef-a67d-01aa75ed71a1/language-en" TargetMode="External"/><Relationship Id="rId228" Type="http://schemas.openxmlformats.org/officeDocument/2006/relationships/hyperlink" Target="https://ec.europa.eu/info/funding-tenders/opportunities/docs/2021-2027/horizon/guidance/ls-decision_he_en.pdf" TargetMode="External"/><Relationship Id="rId13" Type="http://schemas.openxmlformats.org/officeDocument/2006/relationships/hyperlink" Target="https://ehri-project.eu/" TargetMode="External"/><Relationship Id="rId109" Type="http://schemas.openxmlformats.org/officeDocument/2006/relationships/hyperlink" Target="https://ec.europa.eu/info/funding-tenders/opportunities/docs/2021-2027/horizon/guidance/ls-decision_he_en.pdf" TargetMode="External"/><Relationship Id="rId34" Type="http://schemas.openxmlformats.org/officeDocument/2006/relationships/hyperlink" Target="https://ec.europa.eu/info/funding-tenders/opportunities/docs/2021-2027/horizon/guidance/ls-decision_he_en.pdf" TargetMode="External"/><Relationship Id="rId55" Type="http://schemas.openxmlformats.org/officeDocument/2006/relationships/hyperlink" Target="https://home-affairs.ec.europa.eu/networks/eu-knowledge-hub-prevention-radicalisation_en" TargetMode="External"/><Relationship Id="rId76" Type="http://schemas.openxmlformats.org/officeDocument/2006/relationships/hyperlink" Target="https://ec.europa.eu/info/funding-tenders/opportunities/docs/2021-2027/horizon/guidance/ls-decision_he_en.pdf" TargetMode="External"/><Relationship Id="rId97" Type="http://schemas.openxmlformats.org/officeDocument/2006/relationships/hyperlink" Target="https://cordis.europa.eu/project/id/101112111" TargetMode="External"/><Relationship Id="rId120" Type="http://schemas.openxmlformats.org/officeDocument/2006/relationships/hyperlink" Target="https://data.consilium.europa.eu/doc/document/ST-10249-2023-INIT/en/pdf" TargetMode="External"/><Relationship Id="rId141" Type="http://schemas.openxmlformats.org/officeDocument/2006/relationships/hyperlink" Target="https://op.europa.eu/en/publication-detail/-/publication/20d6095a-2a44-11e7-ab65-01aa75ed71a1" TargetMode="External"/><Relationship Id="rId7" Type="http://schemas.openxmlformats.org/officeDocument/2006/relationships/hyperlink" Target="https://www.e-rihs.eu" TargetMode="External"/><Relationship Id="rId162" Type="http://schemas.openxmlformats.org/officeDocument/2006/relationships/hyperlink" Target="https://www.e-unwto.org/doi/epdf/10.18111/9789284418978" TargetMode="External"/><Relationship Id="rId183" Type="http://schemas.openxmlformats.org/officeDocument/2006/relationships/hyperlink" Target="https://ec.europa.eu/info/funding-tenders/opportunities/docs/2021-2027/horizon/guidance/ls-decision_he_en.pdf" TargetMode="External"/><Relationship Id="rId218" Type="http://schemas.openxmlformats.org/officeDocument/2006/relationships/hyperlink" Target="https://ec.europa.eu/info/funding-tenders/opportunities/docs/2021-2027/horizon/guidance/ls-decision_he_en.pdf" TargetMode="External"/><Relationship Id="rId24" Type="http://schemas.openxmlformats.org/officeDocument/2006/relationships/hyperlink" Target="https://www.eeas.europa.eu/sites/default/files/documents/2024/Action-Plan-EN_2020-2027.pdf" TargetMode="External"/><Relationship Id="rId45" Type="http://schemas.openxmlformats.org/officeDocument/2006/relationships/hyperlink" Target="https://commission.europa.eu/topics/defence/safer-together-path-towards-fully-prepared-union_en" TargetMode="External"/><Relationship Id="rId66" Type="http://schemas.openxmlformats.org/officeDocument/2006/relationships/hyperlink" Target="https://ec.europa.eu/info/funding-tenders/opportunities/docs/2021-2027/common/guidance/list-3rd-country-participation_horizon-euratom_en.pdf" TargetMode="External"/><Relationship Id="rId87" Type="http://schemas.openxmlformats.org/officeDocument/2006/relationships/hyperlink" Target="https://ec.europa.eu/info/funding-tenders/opportunities/docs/2021-2027/horizon/guidance/ls-decision_he_en.pdf" TargetMode="External"/><Relationship Id="rId110" Type="http://schemas.openxmlformats.org/officeDocument/2006/relationships/hyperlink" Target="https://ec.europa.eu/info/funding-tenders/opportunities/docs/2021-2027/horizon/guidance/ls-decision_he_en.pdf" TargetMode="External"/><Relationship Id="rId131" Type="http://schemas.openxmlformats.org/officeDocument/2006/relationships/hyperlink" Target="https://ec.europa.eu/info/funding-tenders/opportunities/docs/2021-2027/horizon/guidance/ls-decision_he_en.pdf" TargetMode="External"/><Relationship Id="rId152" Type="http://schemas.openxmlformats.org/officeDocument/2006/relationships/hyperlink" Target="https://ec.europa.eu/info/funding-tenders/opportunities/docs/2021-2027/horizon/guidance/ls-decision_he_en.pdf" TargetMode="External"/><Relationship Id="rId173" Type="http://schemas.openxmlformats.org/officeDocument/2006/relationships/hyperlink" Target="https://ec.europa.eu/info/funding-tenders/opportunities/docs/2021-2027/horizon/guidance/ls-decision_he_en.pdf" TargetMode="External"/><Relationship Id="rId194" Type="http://schemas.openxmlformats.org/officeDocument/2006/relationships/hyperlink" Target="https://ec.europa.eu/info/funding-tenders/opportunities/docs/2021-2027/horizon/guidance/ls-decision_he_en.pdf" TargetMode="External"/><Relationship Id="rId208" Type="http://schemas.openxmlformats.org/officeDocument/2006/relationships/hyperlink" Target="https://ec.europa.eu/info/funding-tenders/opportunities/docs/2021-2027/horizon/guidance/ls-decision_he_en.pdf" TargetMode="External"/><Relationship Id="rId229" Type="http://schemas.openxmlformats.org/officeDocument/2006/relationships/hyperlink" Target="https://www.ohchr.org/en/instruments-mechanisms/instruments/convention-rights-persons-disabilities" TargetMode="External"/><Relationship Id="rId14" Type="http://schemas.openxmlformats.org/officeDocument/2006/relationships/hyperlink" Target="https://ec.europa.eu/info/funding-tenders/opportunities/docs/2021-2027/horizon/guidance/ls-decision_he_en.pdf" TargetMode="External"/><Relationship Id="rId35" Type="http://schemas.openxmlformats.org/officeDocument/2006/relationships/hyperlink" Target="https://ec.europa.eu/info/funding-tenders/opportunities/docs/2021-2027/horizon/guidance/ls-decision_he_en.pdf" TargetMode="External"/><Relationship Id="rId56" Type="http://schemas.openxmlformats.org/officeDocument/2006/relationships/hyperlink" Target="https://ec.europa.eu/info/funding-tenders/opportunities/docs/2021-2027/horizon/guidance/ls-decision_he_en.pdf" TargetMode="External"/><Relationship Id="rId77" Type="http://schemas.openxmlformats.org/officeDocument/2006/relationships/hyperlink" Target="https://ec.europa.eu/info/funding-tenders/opportunities/docs/2021-2027/horizon/guidance/ls-decision_he_en.pdf" TargetMode="External"/><Relationship Id="rId100" Type="http://schemas.openxmlformats.org/officeDocument/2006/relationships/hyperlink" Target="https://ec.europa.eu/info/funding-tenders/opportunities/docs/2021-2027/horizon/guidance/ls-decision_he_en.pdf" TargetMode="External"/><Relationship Id="rId8" Type="http://schemas.openxmlformats.org/officeDocument/2006/relationships/hyperlink" Target="https://v-dem.net/documents/60/V-dem-dr__2025_lowres.pdf" TargetMode="External"/><Relationship Id="rId98" Type="http://schemas.openxmlformats.org/officeDocument/2006/relationships/hyperlink" Target="https://eit-culture-creativity.eu/" TargetMode="External"/><Relationship Id="rId121" Type="http://schemas.openxmlformats.org/officeDocument/2006/relationships/hyperlink" Target="https://data.consilium.europa.eu/doc/document/ST-9962-2021-INIT/en/pdf" TargetMode="External"/><Relationship Id="rId142" Type="http://schemas.openxmlformats.org/officeDocument/2006/relationships/hyperlink" Target="https://op.europa.eu/en/publication-detail/-/publication/639c142b-f260-11ef-981b-01aa75ed71a1/language-en" TargetMode="External"/><Relationship Id="rId163" Type="http://schemas.openxmlformats.org/officeDocument/2006/relationships/hyperlink" Target="https://hadea.ec.europa.eu/calls-proposals/data-space-tourism_en" TargetMode="External"/><Relationship Id="rId184" Type="http://schemas.openxmlformats.org/officeDocument/2006/relationships/hyperlink" Target="https://ec.europa.eu/info/funding-tenders/opportunities/docs/2021-2027/horizon/guidance/ls-decision_he_en.pdf" TargetMode="External"/><Relationship Id="rId219" Type="http://schemas.openxmlformats.org/officeDocument/2006/relationships/hyperlink" Target="https://publications.europa.eu/resource/cellar/a9351b1c-4d31-11ee-9220-01aa75ed71a1.0001.03/DOC_1" TargetMode="External"/><Relationship Id="rId230" Type="http://schemas.openxmlformats.org/officeDocument/2006/relationships/hyperlink" Target="https://op.europa.eu/en/publication-detail/-/publication/3e1e2228-7c97-11eb-9ac9-01aa75ed71a1/language-en" TargetMode="External"/><Relationship Id="rId25" Type="http://schemas.openxmlformats.org/officeDocument/2006/relationships/hyperlink" Target="https://ec.europa.eu/info/funding-tenders/opportunities/docs/2021-2027/horizon/guidance/ls-decision_he_en.pdf" TargetMode="External"/><Relationship Id="rId46" Type="http://schemas.openxmlformats.org/officeDocument/2006/relationships/hyperlink" Target="https://ec.europa.eu/commission/presscorner/detail/en/ip_20_2250" TargetMode="External"/><Relationship Id="rId67" Type="http://schemas.openxmlformats.org/officeDocument/2006/relationships/hyperlink" Target="https://ec.europa.eu/info/funding-tenders/opportunities/docs/2021-2027/horizon/guidance/ls-decision_he_en.pdf" TargetMode="External"/><Relationship Id="rId20" Type="http://schemas.openxmlformats.org/officeDocument/2006/relationships/hyperlink" Target="https://ec.europa.eu/info/funding-tenders/opportunities/docs/2021-2027/horizon/guidance/ls-decision_he_en.pdf" TargetMode="External"/><Relationship Id="rId41" Type="http://schemas.openxmlformats.org/officeDocument/2006/relationships/hyperlink" Target="https://ec.europa.eu/info/funding-tenders/opportunities/docs/2021-2027/horizon/guidance/ls-decision_he_en.pdf" TargetMode="External"/><Relationship Id="rId62" Type="http://schemas.openxmlformats.org/officeDocument/2006/relationships/hyperlink" Target="https://joint-research-centre.ec.europa.eu/projects-and-activities/innovations-public-governance_en" TargetMode="External"/><Relationship Id="rId83" Type="http://schemas.openxmlformats.org/officeDocument/2006/relationships/hyperlink" Target="https://www.ohchr.org/en/instruments-mechanisms/instruments/convention-rights-persons-disabilities" TargetMode="External"/><Relationship Id="rId88" Type="http://schemas.openxmlformats.org/officeDocument/2006/relationships/hyperlink" Target="https://ec.europa.eu/info/funding-tenders/opportunities/docs/2021-2027/horizon/guidance/ls-decision_he_en.pdf" TargetMode="External"/><Relationship Id="rId111" Type="http://schemas.openxmlformats.org/officeDocument/2006/relationships/hyperlink" Target="https://starts.eu/what-we-do/residences/starts4africa/" TargetMode="External"/><Relationship Id="rId132" Type="http://schemas.openxmlformats.org/officeDocument/2006/relationships/hyperlink" Target="https://eur-lex.europa.eu/legal-content/EN/TXT/PDF/?uri=CELEX:52016IP0486&amp;from=EN" TargetMode="External"/><Relationship Id="rId153" Type="http://schemas.openxmlformats.org/officeDocument/2006/relationships/hyperlink" Target="https://eur-lex.europa.eu/legal-content/EN/TXT/?uri=CELEX%3A52021DC0778" TargetMode="External"/><Relationship Id="rId174" Type="http://schemas.openxmlformats.org/officeDocument/2006/relationships/hyperlink" Target="https://eur-lex.europa.eu/legal-content/EN/TXT/PDF/?uri=CELEX:52016IP0486&amp;from=EN" TargetMode="External"/><Relationship Id="rId179" Type="http://schemas.openxmlformats.org/officeDocument/2006/relationships/hyperlink" Target="https://ec.europa.eu/info/funding-tenders/opportunities/docs/2021-2027/horizon/guidance/ls-decision_he_en.pdf" TargetMode="External"/><Relationship Id="rId195" Type="http://schemas.openxmlformats.org/officeDocument/2006/relationships/hyperlink" Target="https://ec.europa.eu/info/funding-tenders/opportunities/docs/2021-2027/horizon/guidance/ls-decision_he_en.pdf" TargetMode="External"/><Relationship Id="rId209" Type="http://schemas.openxmlformats.org/officeDocument/2006/relationships/hyperlink" Target="https://ec.europa.eu/info/funding-tenders/opportunities/docs/2021-2027/horizon/guidance/ls-decision_he_en.pdf" TargetMode="External"/><Relationship Id="rId190" Type="http://schemas.openxmlformats.org/officeDocument/2006/relationships/hyperlink" Target="https://ec.europa.eu/info/funding-tenders/opportunities/docs/2021-2027/horizon/guidance/ls-decision_he_en.pdf" TargetMode="External"/><Relationship Id="rId204" Type="http://schemas.openxmlformats.org/officeDocument/2006/relationships/hyperlink" Target="https://ec.europa.eu/info/funding-tenders/opportunities/portal/screen/opportunities/topic-details/horizon-cl2-2023-transformations-01-08" TargetMode="External"/><Relationship Id="rId220" Type="http://schemas.openxmlformats.org/officeDocument/2006/relationships/hyperlink" Target="https://publications.europa.eu/resource/cellar/d697ee14-77ad-11ea-a07e-01aa75ed71a1.0001.01/DOC_1" TargetMode="External"/><Relationship Id="rId225" Type="http://schemas.openxmlformats.org/officeDocument/2006/relationships/hyperlink" Target="https://ec.europa.eu/info/funding-tenders/opportunities/docs/2021-2027/horizon/guidance/ls-decision_he_en.pdf" TargetMode="External"/><Relationship Id="rId15" Type="http://schemas.openxmlformats.org/officeDocument/2006/relationships/hyperlink" Target="https://ec.europa.eu/info/funding-tenders/opportunities/docs/2021-2027/horizon/guidance/ls-decision_he_en.pdf" TargetMode="External"/><Relationship Id="rId36" Type="http://schemas.openxmlformats.org/officeDocument/2006/relationships/hyperlink" Target="https://www.unwomen.org/en/news/stories/2019/10/compilation-the-power-of-women-peacebuilders" TargetMode="External"/><Relationship Id="rId57" Type="http://schemas.openxmlformats.org/officeDocument/2006/relationships/hyperlink" Target="https://ec.europa.eu/info/funding-tenders/opportunities/docs/2021-2027/horizon/guidance/ls-decision_he_en.pdf" TargetMode="External"/><Relationship Id="rId106" Type="http://schemas.openxmlformats.org/officeDocument/2006/relationships/hyperlink" Target="https://publications.jrc.ec.europa.eu/repository/handle/JRC142598" TargetMode="External"/><Relationship Id="rId127" Type="http://schemas.openxmlformats.org/officeDocument/2006/relationships/hyperlink" Target="https://eur-lex.europa.eu/legal-content/EN/TXT/?uri=CELEX%3A52022DC0800" TargetMode="External"/><Relationship Id="rId10" Type="http://schemas.openxmlformats.org/officeDocument/2006/relationships/hyperlink" Target="https://www.cessda.eu/" TargetMode="External"/><Relationship Id="rId31" Type="http://schemas.openxmlformats.org/officeDocument/2006/relationships/hyperlink" Target="https://ec.europa.eu/info/funding-tenders/opportunities/docs/2021-2027/horizon/guidance/ls-decision_he_en.pdf" TargetMode="External"/><Relationship Id="rId52" Type="http://schemas.openxmlformats.org/officeDocument/2006/relationships/hyperlink" Target="https://ec.europa.eu/info/funding-tenders/opportunities/docs/2021-2027/horizon/guidance/ls-decision_he_en.pdf" TargetMode="External"/><Relationship Id="rId73" Type="http://schemas.openxmlformats.org/officeDocument/2006/relationships/hyperlink" Target="https://ec.europa.eu/info/funding-tenders/opportunities/docs/2021-2027/horizon/guidance/ls-decision_he_en.pdf" TargetMode="External"/><Relationship Id="rId78" Type="http://schemas.openxmlformats.org/officeDocument/2006/relationships/hyperlink" Target="https://commission.europa.eu/document/download/e6cd4328-673c-4e7a-8683-f63ffb2cf648_en?filename=PoliticalGuidelines2024-2029_EN.pdf" TargetMode="External"/><Relationship Id="rId94" Type="http://schemas.openxmlformats.org/officeDocument/2006/relationships/hyperlink" Target="https://european-digital-innovation-hubs.ec.europa.eu/edih-catalogue?f%5B0%5D=edih_soe%3Aedih&amp;f%5B1%5D=edih_soe%3Asoe&amp;f%5B2%5D=sectors%3A508" TargetMode="External"/><Relationship Id="rId99" Type="http://schemas.openxmlformats.org/officeDocument/2006/relationships/hyperlink" Target="https://eic.ec.europa.eu/eic-fund/trusted-investors-network_en" TargetMode="External"/><Relationship Id="rId101" Type="http://schemas.openxmlformats.org/officeDocument/2006/relationships/hyperlink" Target="https://ec.europa.eu/info/funding-tenders/opportunities/docs/2021-2027/horizon/guidance/ls-decision_he_en.pdf" TargetMode="External"/><Relationship Id="rId122" Type="http://schemas.openxmlformats.org/officeDocument/2006/relationships/hyperlink" Target="https://www.consilium.europa.eu/media/50557/st09837-en21.pdf" TargetMode="External"/><Relationship Id="rId143" Type="http://schemas.openxmlformats.org/officeDocument/2006/relationships/hyperlink" Target="https://www.europarl.europa.eu/topics/en/article/20151201STO05603/circular-economy-definition-importance-and-benefits" TargetMode="External"/><Relationship Id="rId148" Type="http://schemas.openxmlformats.org/officeDocument/2006/relationships/hyperlink" Target="https://ec.europa.eu/info/funding-tenders/opportunities/docs/2021-2027/horizon/guidance/ls-decision_he_en.pdf" TargetMode="External"/><Relationship Id="rId164" Type="http://schemas.openxmlformats.org/officeDocument/2006/relationships/hyperlink" Target="https://ec.europa.eu/info/funding-tenders/opportunities/docs/2021-2027/horizon/guidance/ls-decision_he_en.pdf" TargetMode="External"/><Relationship Id="rId169" Type="http://schemas.openxmlformats.org/officeDocument/2006/relationships/hyperlink" Target="https://ec.europa.eu/info/funding-tenders/opportunities/docs/2021-2027/horizon/guidance/ls-decision_he_en.pdf" TargetMode="External"/><Relationship Id="rId185" Type="http://schemas.openxmlformats.org/officeDocument/2006/relationships/hyperlink" Target="https://ec.europa.eu/info/funding-tenders/opportunities/docs/2021-2027/horizon/guidance/ls-decision_he_en.pdf" TargetMode="External"/><Relationship Id="rId4" Type="http://schemas.openxmlformats.org/officeDocument/2006/relationships/hyperlink" Target="https://www.cessda.eu/" TargetMode="External"/><Relationship Id="rId9" Type="http://schemas.openxmlformats.org/officeDocument/2006/relationships/hyperlink" Target="https://ri-portfolio.esfri.eu/ri-portfolio/table" TargetMode="External"/><Relationship Id="rId180" Type="http://schemas.openxmlformats.org/officeDocument/2006/relationships/hyperlink" Target="https://ec.europa.eu/info/funding-tenders/opportunities/docs/2021-2027/horizon/guidance/ls-decision_he_en.pdf" TargetMode="External"/><Relationship Id="rId210" Type="http://schemas.openxmlformats.org/officeDocument/2006/relationships/hyperlink" Target="https://eur-lex.europa.eu/legal-content/EN/TXT/?uri=CELEX%3A32024R1991&amp;qid=1722240349976" TargetMode="External"/><Relationship Id="rId215" Type="http://schemas.openxmlformats.org/officeDocument/2006/relationships/hyperlink" Target="https://ec.europa.eu/info/funding-tenders/opportunities/docs/2021-2027/horizon/guidance/ls-decision_he_en.pdf" TargetMode="External"/><Relationship Id="rId26" Type="http://schemas.openxmlformats.org/officeDocument/2006/relationships/hyperlink" Target="https://ec.europa.eu/info/funding-tenders/opportunities/docs/2021-2027/horizon/guidance/ls-decision_he_en.pdf" TargetMode="External"/><Relationship Id="rId231" Type="http://schemas.openxmlformats.org/officeDocument/2006/relationships/hyperlink" Target="https://ec.europa.eu/info/funding-tenders/opportunities/docs/2021-2027/horizon/guidance/ls-decision_he_en.pdf" TargetMode="External"/><Relationship Id="rId47" Type="http://schemas.openxmlformats.org/officeDocument/2006/relationships/hyperlink" Target="https://commission.europa.eu/strategy-and-policy/priorities-2019-2024/europe-fit-digital-age/digital-services-act_en" TargetMode="External"/><Relationship Id="rId68" Type="http://schemas.openxmlformats.org/officeDocument/2006/relationships/hyperlink" Target="https://ec.europa.eu/info/funding-tenders/opportunities/docs/2021-2027/horizon/guidance/ls-decision_he_en.pdf" TargetMode="External"/><Relationship Id="rId89" Type="http://schemas.openxmlformats.org/officeDocument/2006/relationships/hyperlink" Target="https://ec.europa.eu/info/funding-tenders/opportunities/docs/2021-2027/horizon/guidance/ls-decision_he_en.pdf" TargetMode="External"/><Relationship Id="rId112" Type="http://schemas.openxmlformats.org/officeDocument/2006/relationships/hyperlink" Target="https://ec.europa.eu/info/funding-tenders/opportunities/docs/2021-2027/horizon/guidance/ls-decision_he_en.pdf" TargetMode="External"/><Relationship Id="rId133" Type="http://schemas.openxmlformats.org/officeDocument/2006/relationships/hyperlink" Target="https://op.europa.eu/en/publication-detail/-/publication/5d33c8a7-2e56-11e8-b5fe-01aa75ed71a1/language-en" TargetMode="External"/><Relationship Id="rId154" Type="http://schemas.openxmlformats.org/officeDocument/2006/relationships/hyperlink" Target="https://www.diesis.coop/wp-content/uploads/2018/04/CCIs-SEEs_-FINAL_2018.pdf" TargetMode="External"/><Relationship Id="rId175" Type="http://schemas.openxmlformats.org/officeDocument/2006/relationships/hyperlink" Target="https://op.europa.eu/en/publication-detail/-/publication/6abcc8e7-e685-11ee-8b2b-01aa75ed71a1/language-en" TargetMode="External"/><Relationship Id="rId196" Type="http://schemas.openxmlformats.org/officeDocument/2006/relationships/hyperlink" Target="https://home-affairs.ec.europa.eu/policies/migration-and-asylum/pact-migration-and-asylum_en" TargetMode="External"/><Relationship Id="rId200" Type="http://schemas.openxmlformats.org/officeDocument/2006/relationships/hyperlink" Target="https://cordis.europa.eu/project/id/101095654" TargetMode="External"/><Relationship Id="rId16" Type="http://schemas.openxmlformats.org/officeDocument/2006/relationships/hyperlink" Target="https://europa.eu/!wywg4P" TargetMode="External"/><Relationship Id="rId221" Type="http://schemas.openxmlformats.org/officeDocument/2006/relationships/hyperlink" Target="https://cordis.europa.eu/project/id/727072" TargetMode="External"/><Relationship Id="rId37" Type="http://schemas.openxmlformats.org/officeDocument/2006/relationships/hyperlink" Target="https://ec.europa.eu/info/funding-tenders/opportunities/docs/2021-2027/horizon/guidance/ls-decision_he_en.pdf" TargetMode="External"/><Relationship Id="rId58" Type="http://schemas.openxmlformats.org/officeDocument/2006/relationships/hyperlink" Target="https://ec.europa.eu/info/funding-tenders/opportunities/docs/2021-2027/horizon/guidance/ls-decision_he_en.pdf" TargetMode="External"/><Relationship Id="rId79" Type="http://schemas.openxmlformats.org/officeDocument/2006/relationships/hyperlink" Target="https://ec.europa.eu/commission/presscorner/detail/en/ip_20_2250" TargetMode="External"/><Relationship Id="rId102" Type="http://schemas.openxmlformats.org/officeDocument/2006/relationships/hyperlink" Target="https://digital-strategy.ec.europa.eu/en/library/ai-continent-action-plan" TargetMode="External"/><Relationship Id="rId123" Type="http://schemas.openxmlformats.org/officeDocument/2006/relationships/hyperlink" Target="https://www.europol.europa.eu/publications-events/main-reports/socta-report" TargetMode="External"/><Relationship Id="rId144" Type="http://schemas.openxmlformats.org/officeDocument/2006/relationships/hyperlink" Target="https://research-and-innovation.ec.europa.eu/strategy/support-policy-making/shaping-eu-research-and-innovation-policy/new-european-innovation-agenda_en" TargetMode="External"/><Relationship Id="rId90" Type="http://schemas.openxmlformats.org/officeDocument/2006/relationships/hyperlink" Target="https://eur-lex.europa.eu/legal-content/EN/TXT/PDF/?uri=CELEX:52016IP0486&amp;from=EN" TargetMode="External"/><Relationship Id="rId165" Type="http://schemas.openxmlformats.org/officeDocument/2006/relationships/hyperlink" Target="https://ec.europa.eu/info/funding-tenders/opportunities/docs/2021-2027/horizon/guidance/ls-decision_he_en.pdf" TargetMode="External"/><Relationship Id="rId186" Type="http://schemas.openxmlformats.org/officeDocument/2006/relationships/hyperlink" Target="https://ec.europa.eu/info/funding-tenders/opportunities/docs/2021-2027/horizon/guidance/ls-decision_he_en.pdf" TargetMode="External"/><Relationship Id="rId211" Type="http://schemas.openxmlformats.org/officeDocument/2006/relationships/hyperlink" Target="https://environment.ec.europa.eu/topics/urban-environment/green-city-accord_en" TargetMode="External"/><Relationship Id="rId232" Type="http://schemas.openxmlformats.org/officeDocument/2006/relationships/hyperlink" Target="https://ec.europa.eu/info/funding-tenders/opportunities/docs/2021-2027/horizon/guidance/ls-decision_he_en.pdf" TargetMode="External"/><Relationship Id="rId27" Type="http://schemas.openxmlformats.org/officeDocument/2006/relationships/hyperlink" Target="https://ec.europa.eu/info/funding-tenders/opportunities/docs/2021-2027/horizon/guidance/ls-decision_he_en.pdf" TargetMode="External"/><Relationship Id="rId48" Type="http://schemas.openxmlformats.org/officeDocument/2006/relationships/hyperlink" Target="https://digital-strategy.ec.europa.eu/en/policies/european-digital-media-observatory" TargetMode="External"/><Relationship Id="rId69" Type="http://schemas.openxmlformats.org/officeDocument/2006/relationships/hyperlink" Target="https://digital-strategy.ec.europa.eu/en/library/european-media-industry-outlook" TargetMode="External"/><Relationship Id="rId113" Type="http://schemas.openxmlformats.org/officeDocument/2006/relationships/hyperlink" Target="https://ec.europa.eu/info/funding-tenders/opportunities/docs/2021-2027/horizon/guidance/ls-decision_he_en.pdf" TargetMode="External"/><Relationship Id="rId134" Type="http://schemas.openxmlformats.org/officeDocument/2006/relationships/hyperlink" Target="https://cordis.europa.eu/project/id/101112111" TargetMode="External"/><Relationship Id="rId80" Type="http://schemas.openxmlformats.org/officeDocument/2006/relationships/hyperlink" Target="https://ec.europa.eu/commission/presscorner/detail/en/ip_23_6453" TargetMode="External"/><Relationship Id="rId155" Type="http://schemas.openxmlformats.org/officeDocument/2006/relationships/hyperlink" Target="https://social-economy-gateway.ec.europa.eu/about-eu-social-economy-gateway_en" TargetMode="External"/><Relationship Id="rId176" Type="http://schemas.openxmlformats.org/officeDocument/2006/relationships/hyperlink" Target="https://eur-lex.europa.eu/legal-content/EN/TXT/?uri=celex%3A52021DC0101" TargetMode="External"/><Relationship Id="rId197" Type="http://schemas.openxmlformats.org/officeDocument/2006/relationships/hyperlink" Target="https://ec.europa.eu/info/funding-tenders/opportunities/docs/2021-2027/horizon/guidance/ls-decision_he_en.pdf" TargetMode="External"/><Relationship Id="rId201" Type="http://schemas.openxmlformats.org/officeDocument/2006/relationships/hyperlink" Target="https://ri-portfolio.esfri.eu/ri-portfolio/table/" TargetMode="External"/><Relationship Id="rId222" Type="http://schemas.openxmlformats.org/officeDocument/2006/relationships/hyperlink" Target="https://cordis.europa.eu/project/id/794030" TargetMode="External"/><Relationship Id="rId17" Type="http://schemas.openxmlformats.org/officeDocument/2006/relationships/hyperlink" Target="https://fra.europa.eu/en/publication/2024/lgbtiq-crossroads-progress-and-challenges" TargetMode="External"/><Relationship Id="rId38" Type="http://schemas.openxmlformats.org/officeDocument/2006/relationships/hyperlink" Target="https://ec.europa.eu/info/funding-tenders/opportunities/docs/2021-2027/horizon/guidance/ls-decision_he_en.pdf" TargetMode="External"/><Relationship Id="rId59" Type="http://schemas.openxmlformats.org/officeDocument/2006/relationships/hyperlink" Target="https://ec.europa.eu/info/funding-tenders/opportunities/docs/2021-2027/horizon/guidance/ls-decision_he_en.pdf" TargetMode="External"/><Relationship Id="rId103" Type="http://schemas.openxmlformats.org/officeDocument/2006/relationships/hyperlink" Target="https://ec.europa.eu/info/funding-tenders/opportunities/docs/2021-2027/horizon/guidance/ls-decision_he_en.pdf" TargetMode="External"/><Relationship Id="rId124" Type="http://schemas.openxmlformats.org/officeDocument/2006/relationships/hyperlink" Target="https://www.europol.europa.eu/publication-events/main-reports/changing-dna-of-serious-and-organised-crime" TargetMode="External"/><Relationship Id="rId70" Type="http://schemas.openxmlformats.org/officeDocument/2006/relationships/hyperlink" Target="https://ec.europa.eu/info/funding-tenders/opportunities/docs/2021-2027/horizon/guidance/ls-decision_he_en.pdf" TargetMode="External"/><Relationship Id="rId91" Type="http://schemas.openxmlformats.org/officeDocument/2006/relationships/hyperlink" Target="https://eur-lex.europa.eu/legal-content/EN/TXT/?uri=CELEX%3A52024SC0077" TargetMode="External"/><Relationship Id="rId145" Type="http://schemas.openxmlformats.org/officeDocument/2006/relationships/hyperlink" Target="https://www.kowi.de/Portaldata/2/Resources/heu/coop/he-built4people-sria-2022-27.pdf" TargetMode="External"/><Relationship Id="rId166" Type="http://schemas.openxmlformats.org/officeDocument/2006/relationships/hyperlink" Target="https://commission.europa.eu/document/download/e6cd4328-673c-4e7a-8683-f63ffb2cf648_en?filename=PoliticalGuidelines2024-2029_EN.pdf" TargetMode="External"/><Relationship Id="rId187" Type="http://schemas.openxmlformats.org/officeDocument/2006/relationships/hyperlink" Target="https://ec.europa.eu/info/funding-tenders/opportunities/docs/2021-2027/horizon/guidance/ls-decision_he_en.pdf" TargetMode="External"/><Relationship Id="rId1" Type="http://schemas.openxmlformats.org/officeDocument/2006/relationships/hyperlink" Target="https://ec.europa.eu/info/funding-tenders/opportunities/docs/2021-2027/crea/guidance/list-3rd-country-participation_crea_en.pdf" TargetMode="External"/><Relationship Id="rId212" Type="http://schemas.openxmlformats.org/officeDocument/2006/relationships/hyperlink" Target="https://ec.europa.eu/info/funding-tenders/opportunities/docs/2021-2027/horizon/guidance/ls-decision_he_en.pdf" TargetMode="External"/><Relationship Id="rId233" Type="http://schemas.openxmlformats.org/officeDocument/2006/relationships/hyperlink" Target="https://ec.europa.eu/info/funding-tenders/opportunities/docs/2021-2027/horizon/guidance/ls-decision_he_en.pdf" TargetMode="External"/><Relationship Id="rId28" Type="http://schemas.openxmlformats.org/officeDocument/2006/relationships/hyperlink" Target="https://ec.europa.eu/info/funding-tenders/opportunities/docs/2021-2027/horizon/guidance/ls-decision_he_en.pdf" TargetMode="External"/><Relationship Id="rId49" Type="http://schemas.openxmlformats.org/officeDocument/2006/relationships/hyperlink" Target="https://data.europa.eu/doi/10.2766/28248" TargetMode="External"/><Relationship Id="rId114" Type="http://schemas.openxmlformats.org/officeDocument/2006/relationships/hyperlink" Target="https://language-data-space.ec.europa.eu/related-initiatives/alt-edic_en" TargetMode="External"/><Relationship Id="rId60" Type="http://schemas.openxmlformats.org/officeDocument/2006/relationships/hyperlink" Target="https://ec.europa.eu/info/funding-tenders/opportunities/docs/2021-2027/horizon/guidance/ls-decision_he_en.pdf" TargetMode="External"/><Relationship Id="rId81" Type="http://schemas.openxmlformats.org/officeDocument/2006/relationships/hyperlink" Target="https://ec.europa.eu/commission/presscorner/detail/en/ip_25_681" TargetMode="External"/><Relationship Id="rId135" Type="http://schemas.openxmlformats.org/officeDocument/2006/relationships/hyperlink" Target="https://www.eit.europa.eu/eit-community/eit-culture-creativity" TargetMode="External"/><Relationship Id="rId156" Type="http://schemas.openxmlformats.org/officeDocument/2006/relationships/hyperlink" Target="https://www.oecd.org/en/publications/the-culture-fix_991bb520-en/full-report.html" TargetMode="External"/><Relationship Id="rId177" Type="http://schemas.openxmlformats.org/officeDocument/2006/relationships/hyperlink" Target="https://www.ohchr.org/en/instruments-mechanisms/instruments/convention-rights-persons-disabilities" TargetMode="External"/><Relationship Id="rId198" Type="http://schemas.openxmlformats.org/officeDocument/2006/relationships/hyperlink" Target="https://ec.europa.eu/info/funding-tenders/opportunities/docs/2021-2027/horizon/guidance/ls-decision_he_en.pdf" TargetMode="External"/><Relationship Id="rId202" Type="http://schemas.openxmlformats.org/officeDocument/2006/relationships/hyperlink" Target="https://employment-social-affairs.ec.europa.eu/policies-and-activities/social-protection-social-inclusion/social-protection/long-term-care_en" TargetMode="External"/><Relationship Id="rId223" Type="http://schemas.openxmlformats.org/officeDocument/2006/relationships/hyperlink" Target="https://ec.europa.eu/info/funding-tenders/opportunities/docs/2021-2027/horizon/guidance/ls-decision_he_en.pdf" TargetMode="External"/><Relationship Id="rId18" Type="http://schemas.openxmlformats.org/officeDocument/2006/relationships/hyperlink" Target="https://fra.europa.eu/en/news/2023/black-people-eu-face-ever-more-racism" TargetMode="External"/><Relationship Id="rId39" Type="http://schemas.openxmlformats.org/officeDocument/2006/relationships/hyperlink" Target="https://ec.europa.eu/commission/presscorner/detail/en/ip_24_1707" TargetMode="External"/><Relationship Id="rId50" Type="http://schemas.openxmlformats.org/officeDocument/2006/relationships/hyperlink" Target="https://www.unesco.org/sites/default/files/medias/files/2022/02/GlobalStandardsforMediaandInformationLiteracyCurriculaDevelopmentGuidelines_EN.pdf" TargetMode="External"/><Relationship Id="rId104" Type="http://schemas.openxmlformats.org/officeDocument/2006/relationships/hyperlink" Target="https://ec.europa.eu/info/funding-tenders/opportunities/docs/2021-2027/horizon/guidance/ls-decision_he_en.pdf" TargetMode="External"/><Relationship Id="rId125" Type="http://schemas.openxmlformats.org/officeDocument/2006/relationships/hyperlink" Target="https://eur-lex.europa.eu/legal-content/EN/TXT/?uri=CELEX%3A52020DC0605" TargetMode="External"/><Relationship Id="rId146" Type="http://schemas.openxmlformats.org/officeDocument/2006/relationships/hyperlink" Target="https://circular-cities-and-regions.ec.europa.eu/support-materials/papers-and-reports" TargetMode="External"/><Relationship Id="rId167" Type="http://schemas.openxmlformats.org/officeDocument/2006/relationships/hyperlink" Target="https://culture.ec.europa.eu/news/eurobarometer-publishes-findings-on-europeans-attitudes-towards-culture" TargetMode="External"/><Relationship Id="rId188" Type="http://schemas.openxmlformats.org/officeDocument/2006/relationships/hyperlink" Target="https://commission.europa.eu/topics/eu-competitiveness/draghi-report_en" TargetMode="External"/><Relationship Id="rId71" Type="http://schemas.openxmlformats.org/officeDocument/2006/relationships/hyperlink" Target="https://ec.europa.eu/info/funding-tenders/opportunities/docs/2021-2027/horizon/guidance/ls-decision_he_en.pdf" TargetMode="External"/><Relationship Id="rId92" Type="http://schemas.openxmlformats.org/officeDocument/2006/relationships/hyperlink" Target="https://eit-culture-creativity.eu/" TargetMode="External"/><Relationship Id="rId213" Type="http://schemas.openxmlformats.org/officeDocument/2006/relationships/hyperlink" Target="https://ec.europa.eu/info/funding-tenders/opportunities/docs/2021-2027/horizon/guidance/ls-decision_he_en.pdf" TargetMode="External"/><Relationship Id="rId234" Type="http://schemas.openxmlformats.org/officeDocument/2006/relationships/hyperlink" Target="https://ec.europa.eu/info/funding-tenders/opportunities/docs/2021-2027/horizon/guidance/ls-decision_he_en.pdf" TargetMode="External"/><Relationship Id="rId2" Type="http://schemas.openxmlformats.org/officeDocument/2006/relationships/hyperlink" Target="https://ec.europa.eu/info/strategy/priorities-2019-2024/stronger-europe-world/global-gateway_en" TargetMode="External"/><Relationship Id="rId29" Type="http://schemas.openxmlformats.org/officeDocument/2006/relationships/hyperlink" Target="https://digital-strategy.ec.europa.eu/en/library/european-media-industry-outlook" TargetMode="External"/><Relationship Id="rId40" Type="http://schemas.openxmlformats.org/officeDocument/2006/relationships/hyperlink" Target="https://disinfocode.eu/eu-elections-2024/" TargetMode="External"/><Relationship Id="rId115" Type="http://schemas.openxmlformats.org/officeDocument/2006/relationships/hyperlink" Target="https://ec.europa.eu/info/funding-tenders/opportunities/docs/2021-2027/horizon/guidance/ls-decision_he_en.pdf" TargetMode="External"/><Relationship Id="rId136" Type="http://schemas.openxmlformats.org/officeDocument/2006/relationships/hyperlink" Target="https://pact-for-skills.ec.europa.eu/about/industrial-ecosystems-and-partnerships/creative-and-cultural-industries_en" TargetMode="External"/><Relationship Id="rId157" Type="http://schemas.openxmlformats.org/officeDocument/2006/relationships/hyperlink" Target="https://www.oecd.org/en/publications/economic-and-social-impact-of-cultural-and-creative-sectors_4d4e760f-en.html" TargetMode="External"/><Relationship Id="rId178" Type="http://schemas.openxmlformats.org/officeDocument/2006/relationships/hyperlink" Target="https://ri-portfolio.esfri.eu/" TargetMode="External"/><Relationship Id="rId61" Type="http://schemas.openxmlformats.org/officeDocument/2006/relationships/hyperlink" Target="https://ec.europa.eu/info/funding-tenders/opportunities/docs/2021-2027/horizon/guidance/ls-decision_he_en.pdf" TargetMode="External"/><Relationship Id="rId82" Type="http://schemas.openxmlformats.org/officeDocument/2006/relationships/hyperlink" Target="https://eur-lex.europa.eu/legal-content/EN/TXT/?uri=celex%3A52021DC0101" TargetMode="External"/><Relationship Id="rId199" Type="http://schemas.openxmlformats.org/officeDocument/2006/relationships/hyperlink" Target="https://www.thcspartnership.eu/" TargetMode="External"/><Relationship Id="rId203" Type="http://schemas.openxmlformats.org/officeDocument/2006/relationships/hyperlink" Target="https://ec.europa.eu/info/funding-tenders/opportunities/portal/screen/opportunities/topic-details/horizon-cl2-2022-transformations-01-10" TargetMode="External"/><Relationship Id="rId19" Type="http://schemas.openxmlformats.org/officeDocument/2006/relationships/hyperlink" Target="https://www.ilga-europe.org/report/annual-review-2023/" TargetMode="External"/><Relationship Id="rId224" Type="http://schemas.openxmlformats.org/officeDocument/2006/relationships/hyperlink" Target="https://ec.europa.eu/info/funding-tenders/opportunities/docs/2021-2027/horizon/guidance/ls-decision_he_en.pdf" TargetMode="External"/><Relationship Id="rId30" Type="http://schemas.openxmlformats.org/officeDocument/2006/relationships/hyperlink" Target="https://ec.europa.eu/info/funding-tenders/opportunities/docs/2021-2027/horizon/guidance/ls-decision_he_en.pdf" TargetMode="External"/><Relationship Id="rId105" Type="http://schemas.openxmlformats.org/officeDocument/2006/relationships/hyperlink" Target="https://publications.jrc.ec.europa.eu/repository/handle/JRC142598" TargetMode="External"/><Relationship Id="rId126" Type="http://schemas.openxmlformats.org/officeDocument/2006/relationships/hyperlink" Target="https://eur-lex.europa.eu/legal-content/EN/TXT/?uri=CELEX%3A52021DC0170" TargetMode="External"/><Relationship Id="rId147" Type="http://schemas.openxmlformats.org/officeDocument/2006/relationships/hyperlink" Target="https://ec.europa.eu/futurium/en/system/files/ged/sustainable_circular_reuse_of_spaces_and_buildings_handbook.pdf" TargetMode="External"/><Relationship Id="rId168" Type="http://schemas.openxmlformats.org/officeDocument/2006/relationships/hyperlink" Target="https://op.europa.eu/en/publication-detail/-/publication/07370fba-110d-11ee-b12e-01aa75ed71a1/language-en" TargetMode="External"/><Relationship Id="rId51" Type="http://schemas.openxmlformats.org/officeDocument/2006/relationships/hyperlink" Target="https://ec.europa.eu/info/funding-tenders/opportunities/docs/2021-2027/horizon/guidance/ls-decision_he_en.pdf" TargetMode="External"/><Relationship Id="rId72" Type="http://schemas.openxmlformats.org/officeDocument/2006/relationships/hyperlink" Target="https://ec.europa.eu/info/funding-tenders/opportunities/docs/2021-2027/horizon/guidance/ls-decision_he_en.pdf" TargetMode="External"/><Relationship Id="rId93" Type="http://schemas.openxmlformats.org/officeDocument/2006/relationships/hyperlink" Target="https://ec.europa.eu/regional_policy/policy/communities-and-networks/s3-community-of-practice/partnership_industrial_mod_cultural_and_creative_regional_ecosystems_en" TargetMode="External"/><Relationship Id="rId189" Type="http://schemas.openxmlformats.org/officeDocument/2006/relationships/hyperlink" Target="https://ec.europa.eu/info/funding-tenders/opportunities/docs/2021-2027/horizon/guidance/ls-decision_he_en.pdf" TargetMode="External"/><Relationship Id="rId3" Type="http://schemas.openxmlformats.org/officeDocument/2006/relationships/hyperlink" Target="https://ri-portfolio.esfri.eu/ri-portfolio/table" TargetMode="External"/><Relationship Id="rId214" Type="http://schemas.openxmlformats.org/officeDocument/2006/relationships/hyperlink" Target="https://ec.europa.eu/info/funding-tenders/opportunities/docs/2021-2027/horizon/guidance/ls-decision_he_en.pdf" TargetMode="External"/><Relationship Id="rId116" Type="http://schemas.openxmlformats.org/officeDocument/2006/relationships/hyperlink" Target="https://ec.europa.eu/info/funding-tenders/opportunities/docs/2021-2027/horizon/guidance/ls-decision_he_en.pdf" TargetMode="External"/><Relationship Id="rId137" Type="http://schemas.openxmlformats.org/officeDocument/2006/relationships/hyperlink" Target="https://ec.europa.eu/info/funding-tenders/opportunities/docs/2021-2027/horizon/guidance/ls-decision_he_en.pdf" TargetMode="External"/><Relationship Id="rId158" Type="http://schemas.openxmlformats.org/officeDocument/2006/relationships/hyperlink" Target="https://unsse.org/wp-content/uploads/2023/04/A-77-L6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64FAB-25C7-4E59-87B3-8AB09F12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178</Pages>
  <Words>59043</Words>
  <Characters>366663</Characters>
  <Application>Microsoft Office Word</Application>
  <DocSecurity>0</DocSecurity>
  <Lines>73332</Lines>
  <Paragraphs>2611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423095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KALLIANTZIDIS Orestis (RTD)</cp:lastModifiedBy>
  <cp:revision>3</cp:revision>
  <dcterms:created xsi:type="dcterms:W3CDTF">2025-07-10T14:13:00Z</dcterms:created>
  <dcterms:modified xsi:type="dcterms:W3CDTF">2025-07-10T14:13:00Z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Context">
    <vt:lpwstr>Context</vt:lpwstr>
  </property>
  <property fmtid="{D5CDD505-2E9C-101B-9397-08002B2CF9AE}" pid="4" name="WP">
    <vt:lpwstr>WP</vt:lpwstr>
  </property>
  <property fmtid="{D5CDD505-2E9C-101B-9397-08002B2CF9AE}" pid="5" name="WPTitle">
    <vt:lpwstr>WP Title</vt:lpwstr>
  </property>
  <property fmtid="{D5CDD505-2E9C-101B-9397-08002B2CF9AE}" pid="6" name="MSIP_Label_6bd9ddd1-4d20-43f6-abfa-fc3c07406f94_Enabled">
    <vt:lpwstr>true</vt:lpwstr>
  </property>
  <property fmtid="{D5CDD505-2E9C-101B-9397-08002B2CF9AE}" pid="7" name="MSIP_Label_6bd9ddd1-4d20-43f6-abfa-fc3c07406f94_SetDate">
    <vt:lpwstr>2025-07-10T14:13:00Z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b496d23f-f47f-4c56-9f4a-809a74cf5251</vt:lpwstr>
  </property>
  <property fmtid="{D5CDD505-2E9C-101B-9397-08002B2CF9AE}" pid="12" name="MSIP_Label_6bd9ddd1-4d20-43f6-abfa-fc3c07406f94_ContentBits">
    <vt:lpwstr>0</vt:lpwstr>
  </property>
</Properties>
</file>